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RT140192 vom 11. März 2015</w:t>
      </w:r>
    </w:p>
    <w:p>
      <w:r>
        <w:t>ZH Obergericht, 2015-03-11, DE</w:t>
      </w:r>
    </w:p>
    <w:p>
      <w:r>
        <w:rPr>
          <w:b/>
        </w:rPr>
        <w:t xml:space="preserve">Quelle: </w:t>
      </w:r>
      <w:r>
        <w:t>https://mcp.opencaselaw.ch/entscheid/zh_obergericht_RT140192</w:t>
      </w:r>
    </w:p>
    <w:p>
      <w:r>
        <w:t>FR: ZH_OBERGERICHT RT140192 du 11 mars 2015</w:t>
      </w:r>
    </w:p>
    <w:p>
      <w:r>
        <w:t>IT: ZH_OBERGERICHT RT140192 del 11 marzo 2015</w:t>
      </w:r>
    </w:p>
    <w:p>
      <w:pPr>
        <w:pStyle w:val="Heading2"/>
      </w:pPr>
      <w:r>
        <w:t>Erwägungen</w:t>
      </w:r>
    </w:p>
    <w:p>
      <w:r>
        <w:rPr>
          <w:b/>
        </w:rPr>
        <w:t>E. 1</w:t>
      </w:r>
    </w:p>
    <w:p>
      <w:r>
        <w:t>Antrag auf Ablehnung des vorinstanzlichen Urteils vom 8. Dezember 2014 (EB140443-K/U/br) und Löschung der Betreibung mangels Schulden bei der Gegen- partei.</w:t>
      </w:r>
    </w:p>
    <w:p>
      <w:r>
        <w:rPr>
          <w:b/>
        </w:rPr>
        <w:t>E. 2</w:t>
      </w:r>
    </w:p>
    <w:p>
      <w:r>
        <w:t>Allfällige Kosten zu Lasten der Gegenpartei.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Die erstmals im Beschwerdeverfahren eingereichten Unterlagen (Urk. 15/2 [Änderung des Beschriebs einer Stockwerkeinheit], Urk. 15/3 [Plan],</w:t>
      </w:r>
    </w:p>
    <w:p>
      <w:r>
        <w:t>- 4 - Urk. 15/4 [Zusammenstellung Nebenkosten 2013]; Urk. 15/5 [Übersicht betreffend Parkplätze der G._____ Holding AG vom 4. Dezember 2002]; Urk. 15/6 [Voll- macht an die Rechtsanwälte Dr. H._____ und lic. iur. I._____ vom 30. Oktober 2012], Urk. 15/10 [Schreiben der Gesuchsgegnerin vom 22. Mai 2014]) sind neu und damit nach dem Gesagten unzulässig und unbeachtlich. Die übrigen einge- reichten Unterlagen im Beschwerdeverfahren entsprechen den von den Parteien bereits im vorinstanzlichen Verfahren eingereichten Beilagen. 3.3 Den Antrag auf Löschung der Betreibung stellt die Gesuchsgegnerin erstmals im Beschwerdeverfahren, weshalb dieser neu und damit ebenso unzu- lässig und unbeachtlich ist. Entsprechend ist darauf nicht einzutreten. Selbst wenn darauf einzutreten gewesen wäre, hätte der Antrag abgewiesen werden müssen, da die Anordnung der Löschung des Betreibungsregistereintrages im Rahmen des Rechtsöffnungsverfahrens nicht möglich ist. Dies ist vom Gesetz nicht vorgesehen. Gegen einen definitiven Rechtsöffnungstitel können lediglich die Einreden gegen den Rechtsöffnungstitel selber sowie die vom Gesetz in Art. 81 SchKG genannten Einreden vorgebracht werden. Sodann hebt ein abwei- sender Rechtsöffnungsentscheid die betreffende Betreibung auch nicht auf. Hier- zu stehen lediglich die Möglichkeiten der Feststellungsklage nach Art. 85a SchKG wie auch die allgemeine Feststellungklage offen. 4.1.1 Vor Vorinstanz hatte die Gesuchsgegnerin einerseits die Vollmacht an die Rechtsanwälte Dr. H._____ und lic. iur. I._____ beanstandet mit der Begrün- dung, dass die Unterschriften (der Stockwerkeigentümer) fehlten (Urk. 7 mit Ver- weis auf Urk. 8/2). Andererseits monierte sie, dass die F._____ Immobilien AG zur Vollmachtserteilung an die Rechtsanwälte lic. iur. X._____ und lic. iur. I._____ namens der Gesuchstellerin nicht befugt gewesen sei, da im Verwaltungsvertrag vom 30. Oktober 2013 die Kompetenzsumme unkenntlich gemacht worden sei und es an einer Abstimmung der Stockwerkeigentümer über die Wahl des Be- vollmächtigten zum Abschluss des Verwaltungsvertrages mit der F._____ Immo- bilien AG fehle (Urk. 7 S. 1). Diesbezüglich erwog die Vorinstanz, dass die Voll- macht (Urk. 2) nicht zu beanstanden sei. Die eingereichte Vollmacht sei namens der Gesuchstellerin von zwei Vertretern der F._____ Immobilien AG unterzeichnet</w:t>
      </w:r>
    </w:p>
    <w:p>
      <w:r>
        <w:t>- 5 - worden. Gemäss Verwaltungsvertrag vom 30. Oktober 2013 zwischen der Ge- suchstellerin und der F._____ Immobilien AG sei letztere mit der Verwaltung der Liegenschaft beauftragt worden, wozu gemäss Ziffer 2.1.1 auch die Vertretung und/oder Mithilfe bei ordentlichen Gerichtsverfahren gehöre. Dazu habe die Auf- traggeberin der Beauftragten gemäss Ziffer 4 des Vertrages die Vollmacht zur Durchführung aller sich aus dem Vertrag ergebenden Rechtshandlungen gegeben und ihr ein Substitutionsrecht eingeräumt. Damit sei die F._____ Immobilien AG berechtigt gewesen, einen Dritten mit der Vertretung der Gesuchstellerin in Ge- richtsverfahren zu betrauen. Entsprechend sei sie in der Lage gewesen, die ent- sprechende Vollmacht rechtsgültig zu unterzeichnen. Des Weiteren hielt die Vorinstanz fest, dass die Gesuchsgegnerin aus dem Umstand, wonach die Ge- suchstellerin zum Nachweis der Wahl des Bevollmächtigten, welcher den Verwal- tungsvertrag vom 30. Oktober 2013 unterzeichnet habe, nichts eingereicht habe, nichts für sich ableiten könne. Es würden keine Anhaltspunkte dafür existieren, dass die Stockwerkeigentümer mit der Wahl des den Verwaltungsvertrag unter- zeichnenden Bevollmächtigten nicht einverstanden gewesen wären bzw. etwas gegen die Beauftragung der F._____ Immobilien AG mit der Verwaltung der Lie- genschaft einzuwenden gehabt hätten. Schliesslich habe sich die Gesuchsgegne- rin in ihrem Forderungsprozess gegen die Gesuchstellerin selber mehrfach darauf berufen, dass die F._____ Immobilien AG namens der Gesuchstellerin Zusiche- rungen gemacht habe. Entsprechend scheine die Gesuchsgegnerin selber davon auszugehen, dass die F._____ Immobilien AG gültig mit der Verwaltung der Lie- genschaft beauftragt worden sei bzw. die Unterzeichnung des Verwaltungsvertra- ges durch den Bevollmächtigten rechtens gewesen sei. Damit sei der Einwand der Gesuchsgegnerin, wonach der Bevollmächtigte, welcher den Verwaltungsver- trag mit der F._____ Immobilien AG unterzeichnet habe, nicht ordnungsgemäss gewählt worden sei, widersprüchlich (Urk. 13 S. 4 f. mit Verweis auf Urk. 4/3 S. 4 f.). 4.1.2 Erneut beanstandet die Gesuchsgegnerin die seitens der Gesuchstel- lerin eingereichte Vollmacht und macht insbesondere geltend, es fehle die Unter- schrift von Herrn J._____. Sodann fehle der Beschluss, wer als Bevollmächtigter der Gesuchstellerin gewählt worden sei, um einen neuen Verwaltungsvertrag am</w:t>
      </w:r>
    </w:p>
    <w:p>
      <w:r>
        <w:t>- 6 - 30. Oktober 2013 mit der F._____ Immobilien AG abzuschliessen (Urk. 12 S. 2). In Bezug auf Letzteres setzt sich die Gesuchsgegnerin mit den diesbezüglichen Erwägungen der Vorinstanz nicht auseinander, wonach sich die Gesuchsgegnerin widersprüchlich verhalte, nachdem sie sich im Verfahren vor dem Einzelgericht am Bezirksgericht Winterthur hinsichtlich der zwischen den Parteien strittigen Forderung betreffend Aussenparkplätze zu Lasten der Gesuchstellerin auf Zusi- cherungen der F._____ Immobilien AG gestützt habe und von deren rechtmässi- gen Bestellung als Verwaltung ausgegangen sei (Urk. 13 S. 5). Nachzufragen bleibt, dass sich die Gesuchsgegnerin mit Schreiben vom 24. Februar 2014 be- treffend die Stockwerkeigentümergemeinschaften E._____ und K._____ wiede- rum an die F._____ Immobilien AG wandte und ihr Unterhaltskosten für Parkplät- ze in Rechnung stellte und mit E-Mail vom 14. April 2014 wiederum gegenüber der F._____ Immobilien AG die Verrechnung erklärte (Urk. 4/6, Urk. 8/5, Urk. 8/8). Damit hat es sein Bewenden, und es ist davon auszugehen, dass der zum Ab- schluss des Verwaltungsvertrages vom 30. Oktober 2013 mit der F._____ Immo- bilien AG bevollmächtigte Vertreter der Gesuchstellerin rechtmässig bestellt wor- den ist. 4.1.3 In Bezug auf die fehlenden Unterschriften für die Vollmachtserteilung gilt folgendes: Aus den vor Vorinstanz eingereichten Unterschriftenbelegen (Urk. 8/1; Urk. 8/2) geht nicht hervor, aus welchem Dokument die Unterschriften in Urk. 8/2 stammen; es wurde lediglich die 2. Seite eingereicht. Der blosse Hinweis "Zürcher Anwaltsverband" am Ende der Unterschriften mag zwar den Schluss na- helegen, dass diese im Rahmen einer Vollmachtserteilung an einen Rechtsanwalt abgegeben worden sind, doch ist nicht klar, welche der Vollmachten dies betrifft. Gelten sie für die nun im Beschwerdeverfahren eingereichte Vollmacht betreffend die Rechtsanwälte Dr. H._____ und lic. iur. I._____ (mit den Unterschriften auf der Rückseite, Urk. 15/6), ist darauf hinzuweisen, dass diese Vollmacht für die Forde- rungsklage betreffend Parkplätze und nicht für das Rechtsöffnungsverfahren er- teilt worden ist. Für letzteres wurde die Vollmacht an die Rechtsanwälte lic. iur. X._____ und lic. iur. I._____, datiert vom 1. Oktober 2014, erteilt. So ver- tritt in diesem Verfahren Rechtsanwalt lic. iur. X._____ die Gesuchstellerin (Urk. 2). Ohnehin hätten gemäss Art. 712o Abs. 1 ZGB mehrere Personen, denen</w:t>
      </w:r>
    </w:p>
    <w:p>
      <w:r>
        <w:t>- 7 - ein Stockwerk gemeinschaftlich – sei es als Miteigentümer oder Gesamteigentü- mer – zusteht, nur eine Stimme, die sie durch einen (allenfalls auch bloss still- schweigend bevollmächtigten) Vertreter abgeben. Dabei sind für die interne Wil- lensbildung die Vorschriften des entsprechenden Gemeinschaftsverhältnisses massgebend (BSK ZGB-II-R. Bösch, 4. Auflage, Basel 2011, Art. 712o N 2; ZK- Wermelinger, N 14 zu Art. 7120 ZGB), wobei die Zustimmung des Ehepartners bei verheirateten Paaren nach Massgabe von Art. 166 Abs. 2 Ziffer 1 ZGB formlos und damit auch mündlich erfolgen kann (BSK ZGB-I-Isenring/Kessler, 5. Auflage, Basel 2014, Art. 166 N 18). Somit aber ist – selbst wenn die Unterschriften der ak- tuellen Vollmacht zuzuordnen wären bzw. die Bestellung des zum Abschluss des Verwaltungsvertrages mit der F._____ Immobilien AG Bevollmächtigten betreffen würden – an der Vollmachtserteilung nichts zu beanstanden. Im Übrigen kann auf die zutreffenden Erwägungen der Vorinstanz verwiesen werden (Urk. 13 S. 3 ff. Erw. II./1.3). 4.2.1 Vor Vorinstanz brachte die Gesuchsgegnerin in materieller Hinsicht vor, die Forderung sei durch Verrechnung getilgt worden. Die Forderung sei mit Schreiben vom 24. Februar 2014 gestellt und die Verrechnung mit E-Mail vom 14. April 2014 erklärt worden (Urk. 7 mit Verweis auf Urk. 8/5 und Urk. 8/8). Die zur Verrechnung gebrachte Forderung betraf die Kosten für die Aussenparkplätze (Urk. 8/5). 4.2.2 Die Vorinstanz erwog hierzu, dass – sofern der Einwand der Tilgung auf Verrechnung mit einer Gegenforderung beruhe – diese Gegenforderung im Rechtsöffnungsverfahren ihrerseits durch ein gerichtliches Urteil im Sinne von Art. 81 Abs. 1 SchKG oder durch eine vorbehaltlose Schuldanerkennung der Ge- genpartei belegt sein müsse (Urk. 13 S. 6 m.w.H.). Das von der Gesuchsgegnerin eingereichte Servitutenprotokoll Nr. ... vom 16. Juli 1970 sei als Urkunde im zivil- prozessrechtlichen Sinne grundsätzlich ein zulässiges Beweismittel. Indes reiche dies im vorliegenden Verfahren nicht; es fehle an einem gerichtlichen Urteil bzw. an einer vorbehaltlosen Schuldanerkennung (Urk. 13 S. 7). 4.2.3 Die Gesuchsgegnerin beanstandet beschwerdeweise, dass die Vor- instanz die Verrechnung als solche nicht zugelassen und nicht berücksichtigt ha-</w:t>
      </w:r>
    </w:p>
    <w:p>
      <w:r>
        <w:t>- 8 - be, dass die Verrechnung bereits vor Anhebung der Betreibung erklärt worden sei. Das Servitutenprotokoll erbringe den vollen Beweis für die durch dieses be- zeugten Tatsachen (Urk. 12 S. 1 f.). 4.2.4 Diesen Einwendungen kann nicht zugestimmt werden. So sind Ein- wendungen nach Art. 81 SchKG durch Urkunden sofort zu beweisen. Es ent- spricht dem Willen des Gesetzgebers, dass die Möglichkeiten des Schuldners zur Abwehr im Verfahren der definitiven Rechtsöffnung eng beschränkt sind; um jede Verschleppung der Vollstreckung zu verhindern, kann der definitive Rechtsöff- nungstitel daher nur durch einen strikten Gegenbeweis, d.h. mit völlig eindeutigen Urkunden, entkräftet werden (BGE 124 III 501 Erw. 3a; BGE 115 III 97 Erw. 4). Entsprechend muss die Verrechnungsforderung durch eine Urkunde ausgewiesen werden, die mindestens die Qualität eines provisorischen Rechtsöffnungstitels hat. Es fallen daher nur Verrechnungsansprüche in Betracht, die durch ein voll- streckbares Urteil, eine vollstreckbare Verwaltungsverfügung oder eine Schuldan- erkennung im eigentlichen, zivilrechtlichen Sinne ausgewiesen sind. Letztere kann auch in einem synallagmatischen Vertrag enthalten sein, soweit die betref- fende Leistungspflicht unbestritten ist oder Vorleistungspflicht besteht. Entspre- chend bedarf es einer vorbehalt- und bedingungslosen Schuldanerkennung (P. Stücheli, Die Rechtsöffnung, Zürich 2000, S. 237 ff.; BSK SchKG-I-D. Staehe- lin, 2. Auflage, Zürich 2010, Art. 81 N 10 f.). Die von der Gesuchsgegnerin eingereichten Belege stellen keine solche Schuldanerkennung dar: Das Servitutenprotokoll Nr. ... vom 16. Juli 1970 enthält lediglich eine allgemein gehaltene Klausel, wonach die Erstellungs- und Unter- haltskosten von allen Beteiligten nach Massgabe der zur Verfügung stehenden Plätze getragen würden (Urk. 8/3). Indes ist darin die exakte Höhe einer Schuld der Gesuchstellerin bzw. die genaue Art und Weise der Berechnung der Schuld nicht verbrieft. Demgemäss vermag das Servitutenprotokoll zum Beleg für Be- stand und Höhe der Verrechnungsforderung nicht zu genügen. Sodann stellt die von der Gesuchsgegnerin vor Vorinstanz eingereichte Rechnung vom 24. Februar 2014 lediglich einen Beleg dafür dar, dass die Gesuchsgegnerin die Summe von Fr. 5'000.– von der Gesuchstellerin fordert. Indes wurde diese Forderung von der</w:t>
      </w:r>
    </w:p>
    <w:p>
      <w:r>
        <w:t>- 9 - Gesuchstellerin nicht anerkannt. Vielmehr gilt diese als bestritten. So zeigt das Urteil des Einzelgerichts im vereinfachten Verfahren am Bezirksgericht Winterthur vom 7. Februar 2014, dass sich die Parteien hinsichtlich der Frage, an wen die Kosten für die Aussenparkplätze (gemäss Servitutenprotokoll Nr. ...) zu richten sind, in keiner Weise einig sind. Diesbezüglich hielt das Einzelgericht nämlich fest, dass eine Vereinbarung zwischen den Parteien, wonach die Gesuchsgegne- rin die Aussenparkplätze verwalte und auch die Einnahmen generieren könne, nicht zustande gekommen sei (Urk. 4/3 S. 6 f.). Die Gesuchsgegnerin macht dar- über hinaus nicht geltend, dass zwischenzeitlich eine dahingehend lautende Ver- einbarung zustande gekommen wäre. Entgegen der Ansicht der Gesuchsgegne- rin sind schliesslich auch die weiteren Belege betreffend Firmenparkplätze (Urk. 8/7) und das Schreiben der G._____ Holding AG vom 14. März 2003 (Urk. 8/4) nicht massgebend, enthalten diese doch ebenso wenig eine Schuldanerken- nung der Gesuchstellerin. Insbesondere geht es vorliegend nicht darum, ob die von der Gesuchsgegnerin geforderte Summe angemessen ist oder nicht, sondern nur darum, ob diese ausgewiesen und von der Gesuchstellerin anerkannt worden ist. Dies ist nicht der Fall. Damit ist der Vorinstanz zuzustimmen, wonach der Ge- suchsgegnerin der Beweis für den Bestand der Verrechnungsforderung nicht ge- lungen ist. Dementsprechend hat die Vorinstanz die Einrede zu Recht abgewie- sen. 4.3. Schliesslich bleibt darauf hinzuweisen, dass es sich bei der Klage um richterliche Aufhebung oder Einstellung der Betreibung nach Art. 85 SchKG um ein separates Klageverfahren handelt. Diese Klage ist nicht Gegenstand des vor- instanzlichen Verfahrens. Ein blosser Hinweis auf die Verrechnungseinrede bei der Erhebung des Rechtsvorschlags am 26. Mai 2014 – wie von der Gesuchs- gegnerin angeführt (Urk. 12 S. 1) – vermag jedenfalls eine solche nicht anzuhe- ben. Entsprechend ist darauf nicht weiter einzugehen. 4.4 Damit erweist sich die Beschwerde als offensichtlich unzulässig bzw. unbegründet, weshalb auf das Einholen einer Beschwerdeantwort der Gegenpar- tei verzichtet werden kann (Art. 322 Abs. 1 ZPO). Die Beschwerde ist abzuwei- sen, soweit darauf einzutreten ist.</w:t>
      </w:r>
    </w:p>
    <w:p>
      <w:r>
        <w:t>- 10 - 5.1 Die Entscheidgebühr für das Beschwerdeverfahren ist in Anwendung von Art. 48 i.V.m. Art. 61 Abs. 1 GebV SchKG (vgl. ZR 110/2011 Nr. 28) auf Fr. 450.– festzusetzen. Die Gerichtskosten sind ausgangsgemäss der Gesuchs- gegnerin aufzuerlegen (Art. 106 Abs. 1 ZPO). 5.2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