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RT140179 vom 17. Februar 2015</w:t>
      </w:r>
    </w:p>
    <w:p>
      <w:r>
        <w:t>ZH Obergericht, 2015-02-17, DE</w:t>
      </w:r>
    </w:p>
    <w:p>
      <w:r>
        <w:rPr>
          <w:b/>
        </w:rPr>
        <w:t xml:space="preserve">Quelle: </w:t>
      </w:r>
      <w:r>
        <w:t>https://mcp.opencaselaw.ch/entscheid/zh_obergericht_RT140179</w:t>
      </w:r>
    </w:p>
    <w:p>
      <w:r>
        <w:t>FR: ZH_OBERGERICHT RT140179 du 17 février 2015</w:t>
      </w:r>
    </w:p>
    <w:p>
      <w:r>
        <w:t>IT: ZH_OBERGERICHT RT140179 del 17 febbraio 2015</w:t>
      </w:r>
    </w:p>
    <w:p>
      <w:pPr>
        <w:pStyle w:val="Heading2"/>
      </w:pPr>
      <w:r>
        <w:t>Erwägungen</w:t>
      </w:r>
    </w:p>
    <w:p>
      <w:r>
        <w:rPr>
          <w:b/>
        </w:rPr>
        <w:t>E. 1</w:t>
      </w:r>
    </w:p>
    <w:p>
      <w:r>
        <w:t>Mit Urteil vom 14. November 2014 erteilte die Vorinstanz dem Kläger und Beschwerdegegner (fortan Kläger) in der Betreibung Nr. ... des Betreibungsamtes Thalwil-Rüschlikon-Kilchberg (Zahlungsbefehl vom 17. Juni 2014) gestützt auf den Beschluss des Bezirksrats Horgen Nr. GE.2013.112 vom 6. Februar 2014 (Urk. 5) definitive Rechtsöffnung für Fr. 774.–, Fr. 53.30 Betreibungskosten sowie für Kosten und Entschädigung gemäss den Dispositivziffern 2 bis 4 des Urteils (Urk. 10). Mit innert Frist eingereichter Eingabe vom 27. November 2014 erhob der Beklagte und Beschwerdeführer (fortan Beklagter) Beschwerde mit den folgenden Anträgen (Urk. 14 S. 1): " 1. Der Entscheid des Bezirksgerichts Horgen vom 14.11.2014 sei zu- rückzuweisen.</w:t>
      </w:r>
    </w:p>
    <w:p>
      <w:r>
        <w:rPr>
          <w:b/>
        </w:rPr>
        <w:t>E. 2</w:t>
      </w:r>
    </w:p>
    <w:p>
      <w:r>
        <w:t>Das Bezirksgericht Horgen sei anzuweisen, meine, vom Gericht eingeforderte Stellungnahme zum Rechtsöffnungsbegehren mate- riell zu beurteilen und dabei eventuell festzustellen, dass ich nicht für das Erarbeiten und Einreichen eines Rekurses von einer von den Wählern und Steuerzahlern finanzierten Verwaltungsstelle mit einer Busse oder Bussen-ähnlichen 'Verfahrenskosten' abgestraft werden darf.</w:t>
      </w:r>
    </w:p>
    <w:p>
      <w:r>
        <w:rPr>
          <w:b/>
        </w:rPr>
        <w:t>E. 3</w:t>
      </w:r>
    </w:p>
    <w:p>
      <w:r>
        <w:t>Im Rechtsöffnungsverfahren ist einzig darüber zu entscheiden, ob die durch den Rechtsvorschlag gehemmte Betreibung weitergeführt werden darf oder nicht. Insbesondere kann die sachliche Richtigkeit des der Rechtsöffnung zugrun-</w:t>
      </w:r>
    </w:p>
    <w:p>
      <w:r>
        <w:t>- 3 - de liegenden Entscheids nicht mehr überprüft werden. Der vorinstanzliche Rechtsöffnungsrichter durfte daher den Beschluss des Bezirksrats Horgen vom</w:t>
      </w:r>
    </w:p>
    <w:p>
      <w:r>
        <w:rPr>
          <w:b/>
        </w:rPr>
        <w:t>E. 6</w:t>
      </w:r>
    </w:p>
    <w:p>
      <w:r>
        <w:t>Februar 2014 (Urk. 5) nicht nochmals selber überprüfen, weshalb er zu Recht die den Bezirksratsbeschluss betreffenden Einwendungen des Beklagten nicht materiell behandelt hat (Urk. 15 S. 4). Weiter setzt sich der Beklagte in der Beschwerdeschrift mit dem vorinstanz- lichen Urteil inhaltlich nicht auseinander. Damit erweist sich die Beschwerde als offensichtlich unbegründet. Es kann daher davon abgesehen werden, eine Be- schwerdeantwort des Klägers oder eine Stellungnahme der Vorinstanz einzuholen (Art. 322 ZPO, Art. 324 ZPO). Die Beschwerde ist abzuweisen. 4. Die zweitinstanzliche Spruchgebühr ist ausgangsgemäss dem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150.– festzusetzen. Mangels wesentlicher Umtriebe ist dem Kläger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