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RT140176 vom 26. März 2015</w:t>
      </w:r>
    </w:p>
    <w:p>
      <w:r>
        <w:t>ZH Obergericht, 2015-03-26, DE</w:t>
      </w:r>
    </w:p>
    <w:p>
      <w:r>
        <w:rPr>
          <w:b/>
        </w:rPr>
        <w:t xml:space="preserve">Quelle: </w:t>
      </w:r>
      <w:r>
        <w:t>https://mcp.opencaselaw.ch/entscheid/zh_obergericht_RT140176</w:t>
      </w:r>
    </w:p>
    <w:p>
      <w:r>
        <w:t>FR: ZH_OBERGERICHT RT140176 du 26 mars 2015</w:t>
      </w:r>
    </w:p>
    <w:p>
      <w:r>
        <w:t>IT: ZH_OBERGERICHT RT140176 del 26 marzo 2015</w:t>
      </w:r>
    </w:p>
    <w:p>
      <w:pPr>
        <w:pStyle w:val="Heading2"/>
      </w:pPr>
      <w:r>
        <w:t>Erwägungen</w:t>
      </w:r>
    </w:p>
    <w:p>
      <w:r>
        <w:rPr>
          <w:b/>
        </w:rPr>
        <w:t>E. 1</w:t>
      </w:r>
    </w:p>
    <w:p>
      <w:r>
        <w:t>Mit Eingabe vom 28. August 2014 stellte die Gesuchstellerin und Beschwer- deführerin (fortan Gesuchstellerin) beim Bezirksgericht Hinwil, Einzelgericht im summarischen Verfahren, das Begehren um Erteilung der provisorischen Rechts- öffnung für Fr. 26'105.35 in der Betreibung Nr. ... des Betreibungsamtes Wetzikon (Zahlungsbefehl vom 24. Juli 2014, Urk. 2/3), unter Kosten und Entschädigungs- folgen zuzüglich Mehrwertsteuer zu Lasten des Gesuchsgegners und Beschwer- degegners (fortan Gesuchsgegner, Urk. 1). Mit Urteil vom 1. Oktober 2014 gab die Vorinstanz zunächst in unbegründeter (Urk. 8), hernach auf Ersuchen (Urk. 10) in begründeter Form (Urk. 13) dem Begehren der Gesuchstellerin statt und er- teilte ihr provisorische Rechtsöffnung im beantragten Umfang. Die Kosten des Verfahrens von Fr. 500.– auferlegte sie dem Gesuchsgegner und verpflichtete ihn zur Zahlung einer Parteientschädigung von Fr. 100.– (Urk. 16, Dispositiv-Ziffern 1- 4).</w:t>
      </w:r>
    </w:p>
    <w:p>
      <w:r>
        <w:rPr>
          <w:b/>
        </w:rPr>
        <w:t>E. 2</w:t>
      </w:r>
    </w:p>
    <w:p>
      <w:r>
        <w:t>Die Vorinstanz erwog zu den Kostenfolgen, der Gesuchsgegner sei zu ver- pflichten, der Gesuchstellerin eine angemessene Parteientschädigung zu bezah- len. Die Eingabe der Gesuchstellerin vom 28. August 2014 samt Beilagen (Urk. 1 und 2/2-4) sei sehr knapp gehalten und enthalte keine Ausführungen, welche nicht auch direkt aus den Beilagen hervorgehen würden. Im Übrigen sei von Sei- ten der Gesuchstellerin niemand zur Verhandlung erschienen, weshalb unter Hinweis auf § 2 Abs. 1 und 2, § 4 Abs. 1 und 2 sowie § 9 Verordnung über die Anwaltsgebühren vom 8. September 2010 (AnwGebV) eine Parteientschädigung von Fr. 100.– als angemessen erscheine (Urk. 16 S. 3).</w:t>
      </w:r>
    </w:p>
    <w:p>
      <w:r>
        <w:rPr>
          <w:b/>
        </w:rPr>
        <w:t>E. 3</w:t>
      </w:r>
    </w:p>
    <w:p>
      <w:r>
        <w:t>Die Gesuchstellerin rügt im Wesentlichen, mit der Einreichung des Gesuchs um Erteilung der provisorischen Rechtsöffnung und der Verarbeitung der Zwi- schenverfügung seien ihr Aufwände in voller Höhe entstanden (Urk. 15 S. 3). Die Honorarspanne einer berufsmässigen Vertretung im SchKG-Verfahren belaufe sich gestützt auf die Anwaltsgebührenverordnung von mind. Fr. 612.60 bis max.</w:t>
      </w:r>
    </w:p>
    <w:p>
      <w:r>
        <w:t>- 4 - Fr. 2'021.55 (Urk. 15 S. 4). Eine Honorarvergütung von Fr. 700.– sei im Verhältnis zum Streitwert von Fr. 26'105.35 angemessen und im unteren Bereich der Skala wiederzufinden. Die im angefochtenen Entscheid zugesprochene Entschädigung liege nicht mehr im Rahmen des Ermessensspielraums, weshalb mit der vorlie- genden Kostenbeschwerde eine unrichtige Rechtsanwendung gerügt werde (Urk. 15 S. 5). 4.a) Das Gericht spricht die Parteientschädigung nach den kantonalen Tarifen zu (Art. 105 Abs. 2 i.V.m. Art. 96 ZPO). Die Entschädigung einer anwaltlich vertrete- nen Partei richtet sich vorliegend nach der Verordnung über die Anwaltsgebühren vom 8. September 2010 (§ 1 Abs. 1 AnwGebV). Wie im angefochtenen Entscheid zutreffend festgehalten wird, bilden der Streitwert, die Verantwortung, die Schwie- rigkeit des Falls und der notwendige Zeitaufwand Grundlage für die Festsetzung der Gebühr (§ 2 Abs. 1 AnwGebV). Sie wird bei einem offensichtlichen Missver- hältnis zwischen Streitwert und notwendigem Zeitaufwand der Vertretung ent- sprechend erhöht oder herabgesetzt (§ 2 Abs. 2 AnwGebV). b) Beim vorliegenden Streitwert von Fr. 26'105.35 beläuft sich die Grundgebühr gestützt auf § 4 Abs. 1 AnwGebV auf Fr. 4'572.–. Der Bemessungsrahmen für die Parteientschädigung liegt demnach unter Hinweis auf die im Summarverfahren anwendbare Ermässigung (§ 9 AnwGebV) und die Anpassung an besondere Um- stände des Einzelfalles (§ 4 Abs. 2 AnwGebV) zwischen Fr. 610.– und Fr. 4'060.–. Eine Unter- oder Überschreitung dieses Rahmens setzt ein offensicht- liches Missverhältnis zwischen Streitwert und notwendigem Zeitaufwand der Ver- tretung voraus (§ 2 Abs. 2 AnwGebV). In der Weisung des Obergerichts vom 21. Juni 2006 zur Verordnung über die Anwaltsgebühren (publiziert im Amtsblatt des Kantons Zürich vom 11. August 2006, Nr. 32) wird in Bezug zum damaligen § 2 Abs. 3 AnwGebV ausgeführt, die Regelung bezwecke eine Flexibilisierung der Grenzwerte nach unten und nach oben, um dem richterlichen Ermessen im Sinne der Einzelfallgerechtigkeit zusätzlichen Spielraum zu gewähren. Mit der Formulie- rung "offensichtlich" werde klar gemacht, dass diese Bestimmung im Verhältnis zu den allgemeinen Regeln nur mit grosser Zurückhaltung, d.h. als Notventil, zur Anwendung gelangen solle.</w:t>
      </w:r>
    </w:p>
    <w:p>
      <w:r>
        <w:t>- 5 - Die vorliegend zu beurteilende Rechtsöffnung weist keinen hohen Schwie- rigkeitsgrad auf. Die in Betreibung gesetzte Forderung ist durch einen Verlust- schein ausgewiesen (Urk. 2/4) und deren Identität mit der im Zahlungsbefehl be- zeichneten Forderung erstellt (Urk. 2/3). Einzig die Berechtigung daran hatte die Gesuchstellerin näher auszuführen, wobei deren Nachweis durch die Abtretungs- erklärung vom 17. Juli 2014 ohne Weiteres zu erbringen war (Urk. 2/2). Der Vor- instanz ist denn auch beizupflichten, dass die dreiseitige Eingabe zur Begründung des Rechtsöffnungsbegehrens keine Ausführungen enthält, welche sich nicht auch aus den Beilagen ergeben (Urk. 1, 16 S. 3). Für das Einholen der Instruktion bei der Gesuchstellerin, die Prüfung der Urkunden (Urk. 2/2-2/4) sowie das Erar- beiten der Rechtsschrift (Urk. 1) erscheint jedoch bei standesgemässer Sorgfalt ein Zeitaufwand von zwei Stunden auch unter Berücksichtigung der einfachen Sachlage und verhältnismässig geringen Verantwortung ohne Weiteres ange- messen. Dadurch fällt der zu entschädigende notwendige Zeitaufwand für die be- rufsmässige Vertretung der Gesuchstellerin bereits in den ermittelten ordentlichen Bemessungsrahmen von Fr. 610.– bis Fr. 4'060.–. Entsprechend liegt hier kein of- fensichtliches Missverhältnis zwischen notwendigem Aufwand und Streitwert vor, weshalb für eine Unterschreitung des Bemessungsrahmens im Sinne eines Not- ventils kein Raum bleibt. Indem die Vorinstanz in Anwendung von § 2 Abs. 2 AnwGebV die Parteientschädigung auf Fr. 100.– festsetzte (Urk. 16 S. 3), hat sie somit das Recht unrichtig angewendet. Die Beschwerde der Gesuchstelle- rin ist gutzuheissen und das angefochtene Urteil in diesem Umfang aufzuheben.</w:t>
      </w:r>
    </w:p>
    <w:p>
      <w:r>
        <w:rPr>
          <w:b/>
        </w:rPr>
        <w:t>E. 5</w:t>
      </w:r>
    </w:p>
    <w:p>
      <w:r>
        <w:t>Die Sache erweist sich als spruchreif (Art. 327 Abs. 3 lit. b ZPO). Wie ausge- führt ist vorliegend von einem tiefen Zeitaufwand für die Vertretung der Gesuch- stellerin auszugehen, was denn auch mit dem geringen Schwierigkeitsgrad des Falls und der Verantwortung korreliert. Entsprechend erscheint gestützt auf § 4 Abs. 2 AnwGebV eine Ermässigung der Grundgebühr um einen Drittel auf Fr. 3'048.– angemessen. Weiter rechtfertigt sich in Nachachtung des vorliegen- den Summarverfahrens deren Herabsetzung auf einen Fünftel (§ 9 AnwGebV), mithin auf Fr. 610.–. Diese Gebühr deckt die Aufwendungen für die Erarbeitung des Rechtsöffnungsbegehrens (§ 11 Abs. 1 AnwGebV), zu welcher selbstredend auch die Instruktion des Rechtsvertreters, das Erstellen der Vollmacht und die</w:t>
      </w:r>
    </w:p>
    <w:p>
      <w:r>
        <w:t>- 6 - Prüfung des Vorliegens sämtlicher Urkunden für die erfolgreiche Durchsetzung der Rechtsöffnung zählen (Urk. 15 S. 5). Die Eingabe vom 7. Oktober 2014, mit welcher die Gesuchstellerin die Begründung des Urteils vom 1. Oktober 2014 ver- langt (Urk. 10), ist als notwendige Rechtsschrift im Sinne von § 11 Abs. 2 AnwGebV mit einem Einzelzuschlag abzugelten, welcher für das standar- disierte, wenig zeitaufwändige Schreiben mit Fr. 40.– festzusetzen ist. Insgesamt ist der Gesuchstellerin demnach eine Parteientschädigung von Fr. 650.–, zuzüg- lich beantragter (Urk. 1 S. 2) Mehrwertsteuer von 8%, insgesamt somit Fr. 700.– zuzusprechen.</w:t>
      </w:r>
    </w:p>
    <w:p>
      <w:r>
        <w:rPr>
          <w:b/>
        </w:rPr>
        <w:t>E. 6</w:t>
      </w:r>
    </w:p>
    <w:p>
      <w:r>
        <w:t>Ausgangsgemäss wird der Gesuchsgegner für das Beschwerdeverfahren kosten- und entschädigungspflichtig (Art. 106 Abs. 1 ZPO). Die Gerichtsgebühr ist ausgehend von einem Rechtsmittelstreitwert von Fr. 600.– sowie in Anwendung von Art. 48 GebV SchKG auf Fr. 150.– festzusetzen. Die Parteientschädigung an die Gesuchstellerin ist gestützt auf § 13 Abs. 1 und 2 in Verbindung mit § 4 Abs. 1 und § 9 AnwGebV inklusive 8% Mehrwertsteuer auf Fr. 80.– zu veranschlagen.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