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RT140140 vom 10. Dezember 2014</w:t>
      </w:r>
    </w:p>
    <w:p>
      <w:r>
        <w:t>ZH Obergericht, 2014-12-10, DE</w:t>
      </w:r>
    </w:p>
    <w:p>
      <w:r>
        <w:rPr>
          <w:b/>
        </w:rPr>
        <w:t xml:space="preserve">Quelle: </w:t>
      </w:r>
      <w:r>
        <w:t>https://mcp.opencaselaw.ch/entscheid/zh_obergericht_RT140140</w:t>
      </w:r>
    </w:p>
    <w:p>
      <w:r>
        <w:t>FR: ZH_OBERGERICHT RT140140 du 10 décembre 2014</w:t>
      </w:r>
    </w:p>
    <w:p>
      <w:r>
        <w:t>IT: ZH_OBERGERICHT RT140140 del 10 dicembre 2014</w:t>
      </w:r>
    </w:p>
    <w:p>
      <w:pPr>
        <w:pStyle w:val="Heading2"/>
      </w:pPr>
      <w:r>
        <w:t>Erwägungen</w:t>
      </w:r>
    </w:p>
    <w:p>
      <w:r>
        <w:rPr>
          <w:b/>
        </w:rPr>
        <w:t>E. 1</w:t>
      </w:r>
    </w:p>
    <w:p>
      <w:r>
        <w:t>Februar 2014 bis 31. März 2014 auf dem Betrag von Fr. 9'858.– sowie für Zins zu 5% auf dem Betrag von Fr. 6'092.– seit 1. April 2014 erteilt (Urk. 15). Gegen diesen Entscheid erhob der Gesuchsgegner und Beschwerdeführer (fortan Ge- suchsgegner) mit Eingabe vom 6. Oktober 2014 rechtzeitig Beschwerde mit fol- genden Anträgen (Urk. 14 S. 2): "1. Das Urteil des Bezirksgerichts Dielsdorf vom 1. September 2014 sei aufzuheben, und das Rechtsöffnungsbegehren der Gesuch- stellerin/Beschwerdegegnerin vom 10. Mai 2014 sei abzuweisen.</w:t>
      </w:r>
    </w:p>
    <w:p>
      <w:r>
        <w:rPr>
          <w:b/>
        </w:rPr>
        <w:t>E. 2</w:t>
      </w:r>
    </w:p>
    <w:p>
      <w:r>
        <w:t>Der Beklagte wird verpflichtet, der Klägerin monatliche Unterhaltsbeiträge wie folgt zu bezah- len: − Fr. 1'950.– rückwirkend vom 1. Juli 2012 bis 28. Februar 2013, zahlbar bis spätestens 31. Januar 2014, − Fr. 1'820.– pro Monat ab 1. März 2013 für die weitere Dauer des Getrenntlebens. Die rückwirkend festgesetzten Unterhaltsbeiträge sind bis 30. Juni 2014 vollumfänglich zu bezahlen. Die künftigen Unterhaltsbeiträge sind zahlbar monatlich im Voraus jeweils auf den Ersten eines jeden Monats." Die Dispositiv-Ziff. 1 – 3, Ziff. 6 sowie die Dispositiv-Ziff. 8 – 11 des Urteils vom</w:t>
      </w:r>
    </w:p>
    <w:p>
      <w:r>
        <w:rPr>
          <w:b/>
        </w:rPr>
        <w:t>E. 5</w:t>
      </w:r>
    </w:p>
    <w:p>
      <w:r>
        <w:t>Die Rüge des Gesuchsgegners ist begründet. In dem von ihm angeführten BGE 135 III 315 wird festgehalten, dass im Falle eines Vorbehalts von bereits be- zahlten Unterhaltsbeiträgen im Dispositiv der darin festgehaltene Geldbetrag nicht der zu zahlenden Schuld entspricht. Wenn der Betrag, welcher für die rückwir-</w:t>
      </w:r>
    </w:p>
    <w:p>
      <w:r>
        <w:t>- 5 - kenden Unterhaltsbeiträge bezahlt werden müsse, auch nicht der Begründung im Eheschutzurteil zu entnehmen sei, könne nicht gesagt werden, welcher Betrag geschuldet sei. Jedenfalls seien für die rückwirkenden Beiträge nicht die im Urteil genannten Beträge geschuldet. Andernfalls wäre der Vorbehalt der Anrechnung bereits geleisteter Zahlungen sinnlos. Mangels einer klaren Zahlungsverpflichtung könne gestützt auf ein solches Urteil keine definitive Rechtsöffnung erteilt werden (BGE 135 III 315, 319 Erw. 2.4.).</w:t>
      </w:r>
    </w:p>
    <w:p>
      <w:r>
        <w:rPr>
          <w:b/>
        </w:rPr>
        <w:t>E. 6</w:t>
      </w:r>
    </w:p>
    <w:p>
      <w:r>
        <w:t>Der eben geschilderte Bundesgerichtsentscheid ist vorliegend einschlägig: Gemäss der unangefochten gebliebenen Dispositiv-Ziff. 6 des erstinstanzlichen Eheschutzurteils werden allfällige vom Beklagten (vorliegend vom Gesuchsgeg- ner) an die Klägerin (vorliegend die Gesuchstellerin) in Erfüllung seiner Unter- haltspflicht geleisteten Akontozahlungen für den Zeitraum ab 1. Juli 2012 bei ent- sprechendem Nachweis an die festgesetzten Unterhaltsbeiträge angerechnet. In Dispositiv-Ziff. 1 des Urteils der hiesigen Kammer vom 3. Januar 2014 wird der Vorbehalt "unter Anrechnung bereits geleisteter Zahlungen" erneut gemacht, nicht hingegen in Dispositiv-Ziff. 2. Dieser Vorbehalt wäre indes gar nicht nötig gewe- sen, nachdem einerseits wie erwähnt Dispositiv-Ziff. 6 des erstinstanzlichen Ehe- schutzurteils nicht angefochten wurde und weil andererseits aufgrund der Formu- lierung "an die festgesetzten Unterhaltsbeiträge" in Dispositiv-Ziff. 6 davon auszu- gehen ist, dass sich die Anrechnung sowohl auf Ehegatten- als auch auf Kin- derunterhaltsbeiträge bezieht. Sodann weist der Gesuchsgegner zu Recht darauf hin, dass sich auch der Begründung nicht entnehmen lässt, wie hoch der Betrag ist, welcher für die rückwirkenden Unterhaltsbeiträge bezahlt werden muss (Urk. 14 S. 6). Folglich entsprechen vorliegend die in den Dispositiv-Ziff. 1 und 2 festgelegten Geldbeträge nicht der zu zahlenden Schuld, weshalb mangels einer klaren Zahlungsverpflichtung in bestimmter Höhe gestützt auf die genannten Dis- positiv-Ziff. 1 und 2 für die geltend gemachten ausstehenden Unterhaltsbeiträge der Monate Juli 2012 bis Februar 2013 keine definitive Rechtsöffnung erteilt wer- den kann.</w:t>
      </w:r>
    </w:p>
    <w:p>
      <w:r>
        <w:rPr>
          <w:b/>
        </w:rPr>
        <w:t>E. 7</w:t>
      </w:r>
    </w:p>
    <w:p>
      <w:r>
        <w:t>Somit ist in Gutheissung der Beschwerde das Gesuch um Erteilung der defi- nitiven Rechtsöffnung in der Betreibung Nr. 1 des Betreibungsamtes Rümlang-</w:t>
      </w:r>
    </w:p>
    <w:p>
      <w:r>
        <w:t>- 6 - Oberglatt (Zahlungsbefehl vom 5. Februar 2014) für den Betrag von Fr. 6'092.– nebst 5% Zins seit 1. Februar 2014 bis 31. März 2014 auf dem Betrag von Fr. 9'858.– sowie nebst 5% Zins auf dem Betrag von Fr. 6'092.– seit 1. April 2014 ab- zuweisen. III. 1. Abschliessend ist über die Kosten- und Entschädigungsfolgen für das erst- und zweitinstanzliche Verfahren zu entscheiden. 2. Da die Gesuchstellerin vollumfänglich unterliegt, ist ihr die von der Vorinstanz auf Fr. 300.– festgesetzte und bezüglich ihrer Höhe unangefochten gebliebene Spruchgebühr von Fr. 300.– für das erstinstanzliche Verfahren vollum- fänglich aufzuerlegen. Der vor Vorinstanz unvertretene Gesuchsgegner hat keine zu entschädigenden Kosten bzw. Umtriebe geltend gemacht. Entsprechend ist ihm keine Umtriebsentschädigung zuzusprechen. Die Gesuchstellerin hat zufolge ihres Unterliegens keinen Anspruch auf eine Entschädigung (Art. 106 Abs. 1 ZPO). Demgemäss sind für das vorinstanzliche Verfahren keine Entschädigungen zuzusprechen. 3. Die Gerichtskosten des Beschwerdeverfahrens sind in Anwendung von § 48 i.V.m. 61 Abs. 1 GebV SchKG auf Fr. 450.– festzulegen und ausgangsgemäss der unterliegenden Gesuchstellerin aufzuerlegen (Art. 106 Abs. 2 ZPO). Überdies ist sie zu verpflichten, dem im Beschwerdeverfahren anwaltlich vertretenen Ge- suchsgegner gestützt auf § 2 Abs. 1 lit. a, § 4 Abs. 1, § 9, § 12 Abs. 3 und § 13 Abs. 1 und 2 AnwGebV eine angemesse Parteientschädigung von Fr. 650.– zu- züglich 8% Mehrwertsteuer, mithin Fr. 702.–,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