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RT140087 vom 30. Juli 2014</w:t>
      </w:r>
    </w:p>
    <w:p>
      <w:r>
        <w:t>ZH Obergericht, 2014-07-30, DE</w:t>
      </w:r>
    </w:p>
    <w:p>
      <w:r>
        <w:rPr>
          <w:b/>
        </w:rPr>
        <w:t xml:space="preserve">Quelle: </w:t>
      </w:r>
      <w:r>
        <w:t>https://mcp.opencaselaw.ch/entscheid/zh_obergericht_RT140087</w:t>
      </w:r>
    </w:p>
    <w:p>
      <w:r>
        <w:t>FR: ZH_OBERGERICHT RT140087 du 30 juillet 2014</w:t>
      </w:r>
    </w:p>
    <w:p>
      <w:r>
        <w:t>IT: ZH_OBERGERICHT RT140087 del 30 luglio 2014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vorinstanzlichen Akten wurden beigezogen.</w:t>
      </w:r>
    </w:p>
    <w:p>
      <w:r>
        <w:rPr>
          <w:b/>
        </w:rPr>
        <w:t>E. 3</w:t>
      </w:r>
    </w:p>
    <w:p>
      <w:r>
        <w:t>Da sich die Beschwerde des Gesuchsgegners - wie sogleich zu zeigen sein wird - als offensichtlich unbegründet erweist, erübrigt sich das Einholen einer Be- schwerdeantwort (Art. 322 Abs. 1 ZPO).</w:t>
      </w:r>
    </w:p>
    <w:p>
      <w:r>
        <w:rPr>
          <w:b/>
        </w:rPr>
        <w:t>E. 4</w:t>
      </w:r>
    </w:p>
    <w:p>
      <w:r>
        <w:t>Mit der Beschwerde können unrichtige Rechtsanwendung und offensichtlich unrichtige Feststellung des Sachverhalts geltend gemacht werden (Art. 320 ZPO). Im Beschwerdeverfahren gilt das Rügeprinzip (Sutter-Somm/Hasenböhler/Leuen- berger [Hrsg.], Kommentar zur Schweizerischen Zivilprozessordnung, 2.A., N 15 zu Art. 321 ZPO), d.h. die Beschwerde führende Partei hat im Einzelnen darzule- gen, an welchen Mängeln (unrichtige Rechtsanwendung, offensichtlich unrichtige Feststellung des Sachverhalts) der angefochtene Entscheid ihrer Ansicht nach leidet. Was nicht gerügt wird, hat grundsätzlich Bestand. Werden keine oder un- genügende Rügen erhoben, stellt dies einen nicht behebbaren Mangel dar (vgl. Art. 132 ZPO), d.h. ist nicht eine Nachfrist zur ergänzenden Begründung anzuset- zen, sondern ist die Beschwerde abzuweisen. 5.1. Die Vorinstanz hat dem Gesuchsteller gestützt auf eine rechtskräftige Verfü- gung vom 30. Oktober 2012, mit welcher der Gesuchsgegner zur Zahlung von Fr. 88'268.85 Nachsteuer betreffend Staats- und Gemeindesteuern, einer Busse von Fr. 31'230.– sowie Verfahrenskosten von Fr. 2'235.– verpflichtet worden ist</w:t>
      </w:r>
    </w:p>
    <w:p>
      <w:r>
        <w:t>- 3 - (Urk. 3/1), Rechtsöffnung erteilt. Sie hielt unter anderem fest, dass der Einwand des Gesuchsgegners, er könne die Forderung aus finanziellen Gründen nicht be- zahlen, im Rechtsöffnungsverfahren nicht zu beachten sei. Die finanzielle Leis- tungsfähigkeit des Gesuchsgegners werde erst im eigentlichen Vollstreckungsver- fahren - nach allfälliger Stellung eines Fortsetzungsbegehrens durch den Ge- suchsteller - überprüft (Urk. 12 S. 2 f.). 5.2. Der Gesuchsgegner legt in seiner Beschwerde erneut seine finanzielle Situ- ation dar und erklärt wie schon vor Vorinstanz, er könne den geforderten Betrag nicht bezahlen. Weiter beantragt er die Annullierung des Entscheids des kantona- len Steueramtes über sein Erlassgesuch vom März 2013. Damit setzt sich der Gesuchsgegner in keiner Weise mit den vorinstanzlichen Erwägungen auseinan- der. Wie schon die Vorinstanz korrekt erwogen hat, ist es nicht Aufgabe des Rechtsöffnungsrichters, die finanzielle Leistungsfähigkeit eines Schuldners abzu- klären. Liegt - wie vorliegend - ein definitiver Rechtsöffnungstitel im Sinne von Art. 80 Abs. 2 Ziff. 2 SchKG vor, so ist die Rechtsöffnung zu erteilen, wenn der Betriebene nicht durch Urkunden beweist, dass die Schuld seit Erlass des Ent- scheids getilgt oder gestundet worden ist, oder er die Verjährung anruft (Art. 81 Abs. 1 SchKG). Der Gesuchsgegner hat keinen dieser Einwände vorgebracht. Weiter besteht im Rahmen des Rechtsöffnungsverfahrens auch kein Raum, die unterdessen rechtskräftige Verfügung (vgl. Urk. 3/6) über das Erlassgesuch des Gesuchsgegners aufzuheben. Hierfür hätte der Gesuchsgegner innert Frist ein Rechtsmittel gegen die betreffende Verfügung bei der zuständigen Stelle einlegen müssen. 5.3.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