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RT140083 vom 4. Juli 2014</w:t>
      </w:r>
    </w:p>
    <w:p>
      <w:r>
        <w:t>ZH Obergericht, 2014-07-04, DE</w:t>
      </w:r>
    </w:p>
    <w:p>
      <w:r>
        <w:rPr>
          <w:b/>
        </w:rPr>
        <w:t xml:space="preserve">Quelle: </w:t>
      </w:r>
      <w:r>
        <w:t>https://mcp.opencaselaw.ch/entscheid/zh_obergericht_RT140083</w:t>
      </w:r>
    </w:p>
    <w:p>
      <w:r>
        <w:t>FR: ZH_OBERGERICHT RT140083 du 4 juillet 2014</w:t>
      </w:r>
    </w:p>
    <w:p>
      <w:r>
        <w:t>IT: ZH_OBERGERICHT RT140083 del 4 luglio 2014</w:t>
      </w:r>
    </w:p>
    <w:p>
      <w:pPr>
        <w:pStyle w:val="Heading2"/>
      </w:pPr>
      <w:r>
        <w:t>Erwägungen</w:t>
      </w:r>
    </w:p>
    <w:p>
      <w:r>
        <w:rPr>
          <w:b/>
        </w:rPr>
        <w:t>E. 1</w:t>
      </w:r>
    </w:p>
    <w:p>
      <w:r>
        <w:t>a) Mit Urteil vom 3. Juni 2014 entschied die Vorinstanz folgendermassen (Urk. 10 S. 4 f.): " 1. Der Gesuchstellerin wird definitive Rechtsöffnung erteilt in Betreibung Nr. …, Betreibungsamt Zürich 1, Zahlungsbefehl vom 24. März 2014, für Fr. 27'200.91 (entsprechend EUR. 22'336.00 zum Kurs von 1.2178) nebst Zins zu 7.37 % seit 21. März 2014, Fr. 1'838.64 (entsprechend EUR. 1'509.64 zum Kurs von 1.2179), Fr. 2'317.09 (entsprechend EUR. 1'902.67 zum Kurs von 1.2178), Fr. 530.00 (entsprechend EUR. 435.60 zum Kurs von 1.2179), Fr. 14.96 (entsprechend EUR. 12.28 zum Kurs von 1.2183), Fr. 442.23 (entsprechend EUR. 363.00 zum Kurs von 1.2183), Fr. 12.46 (entsprechend EUR. 10.23 zum Kurs von 1.2183), Fr. 1'214.18 (entsprechend EUR. 996.80 zum Kurs von 1.2181).</w:t>
      </w:r>
    </w:p>
    <w:p>
      <w:r>
        <w:rPr>
          <w:b/>
        </w:rPr>
        <w:t>E. 2</w:t>
      </w:r>
    </w:p>
    <w:p>
      <w:r>
        <w:t>Die Spruchgebühr von Fr. 500.– wird von der Gesuchstellerin be- zogen, ist ihr aber von der Gesuchsgegnerin zu ersetzen.</w:t>
      </w:r>
    </w:p>
    <w:p>
      <w:r>
        <w:rPr>
          <w:b/>
        </w:rPr>
        <w:t>E. 3</w:t>
      </w:r>
    </w:p>
    <w:p>
      <w:r>
        <w:t>Die Gesuchsgegnerin wird verpflichtet, der Gesuchstellerin eine Parteientschädigung von Fr. 2'500.– zu bezahlen.</w:t>
      </w:r>
    </w:p>
    <w:p>
      <w:r>
        <w:rPr>
          <w:b/>
        </w:rPr>
        <w:t>E. 4</w:t>
      </w:r>
    </w:p>
    <w:p>
      <w:r>
        <w:t>(Schriftliche Mitteilung.)</w:t>
      </w:r>
    </w:p>
    <w:p>
      <w:r>
        <w:rPr>
          <w:b/>
        </w:rPr>
        <w:t>E. 5</w:t>
      </w:r>
    </w:p>
    <w:p>
      <w:r>
        <w:t>Schriftliche Mitteilung an die Parteien, an die Gesuchstellerin unter Beilage einer Kopie von Urk. 9, sowie an das Bezirksgericht Zürich, Einzelgericht Audienz,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27'200.91. Die Beschwerde an das Bundesgericht hat keine aufschiebende Wirkung. Hinsichtlich des Fristenlaufs gelten die Art. 44 ff. BGG. Zürich, 4. Juli 2014 Obergericht des Kantons Zürich I. Zivilkammer Der Gerichtsschreiber: lic. iur. A. Baumgartner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