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RT140034 vom 23. Mai 2014</w:t>
      </w:r>
    </w:p>
    <w:p>
      <w:r>
        <w:t>ZH Obergericht, 2014-05-23, DE</w:t>
      </w:r>
    </w:p>
    <w:p>
      <w:r>
        <w:rPr>
          <w:b/>
        </w:rPr>
        <w:t xml:space="preserve">Quelle: </w:t>
      </w:r>
      <w:r>
        <w:t>https://mcp.opencaselaw.ch/entscheid/zh_obergericht_RT140034</w:t>
      </w:r>
    </w:p>
    <w:p>
      <w:r>
        <w:t>FR: ZH_OBERGERICHT RT140034 du 23 mai 2014</w:t>
      </w:r>
    </w:p>
    <w:p>
      <w:r>
        <w:t>IT: ZH_OBERGERICHT RT140034 del 23 maggio 2014</w:t>
      </w:r>
    </w:p>
    <w:p>
      <w:pPr>
        <w:pStyle w:val="Heading2"/>
      </w:pPr>
      <w:r>
        <w:t>Erwägungen</w:t>
      </w:r>
    </w:p>
    <w:p>
      <w:r>
        <w:rPr>
          <w:b/>
        </w:rPr>
        <w:t>E. 1</w:t>
      </w:r>
    </w:p>
    <w:p>
      <w:r>
        <w:t>Die Parteien wurden mit Urteil des Einzelgerichts im ordentlichen Verfah- ren am Bezirksgericht Winterthur vom 19. Mai 2011 geschieden (Urk. 3/1). Hin- sichtlich des nachehelichen Unterhalts genehmigte das Scheidungsgericht in Dis- positivziffer 6 die Vereinbarung der Parteien. Sie lautet wie folgt: "a) Der Gesuchsteller verpflichtet sich, der Gesuchstellerin folgende persönliche Un- terhaltsbeiträge im Sinne von Art. 125 ZGB zu bezahlen: a/a) Fr. 2'400.– ab Rechtskraft des Scheidungsurteils bis und mit Dezember 2011 a/b) Fr. 1'500.– ab Januar 2012 bis zum Eintritt der Gesuchstellerin ins ordentli- che AHV-Rentenalter (voraussichtlich April 2027) Die Unterhaltsbeiträge sind zahlbar monatlich im Voraus jeweils auf den 28. eines jeden Vormonates. Sofern die Gesuchstellerin in der Phase a/a) im Durchschnitt eines Kalenderjah- res ein monatliches Einkommen von mehr als Fr. 4'000.– netto (inkl. Anteil 13. Monatsgehalt, Bonus, Provisionen etc. exkl. Ausbildungs- und Kinderzulagen) erzielt, lässt sie sich die Hälfte des Überschusses über die genannte Einkom- mensgrenze hinaus an ihren Unterhalt anrechnen. In der Phase a/b) erfolgt eine hälftige Anrechnung ab einem durchschnittlichen Verdienst pro Kalenderjahr von auf ein Vollzeitpensum bereinigt mehr als Fr. 5'000.– netto pro Monat. Die Gesuchstellerin verpflichtet sich, dem Gesuchsteller jeweils bis Ende März, erstmals bis Ende März 2012, den Eintritt eines rentenmindernden Ereignisses unaufgefordert mitzuteilen und lässt ihm sämtliche Lohnausweise bzw. bei Selb- ständigkeit entsprechende Beleg über das im Vorjahr erzielte Erwerbseinkommen zukommen. Auf der Basis der dann zumal vorliegenden Einkommensbelege ist die Höhe der im Vorjahr geschuldeten Unterhaltsbeiträge zu errechnen. Ergibt sich aus der Be- rechnung, dass im Vorjahr zu viel Unterhaltsbeiträge bezahlt worden sind, hat die Gesuchstellerin den Saldo zu Gunsten des Gesuchstellers jeweils bis Ende Mai des laufenden Jahres zurückzuzahlen. Zeigt sich aus der Berechnung, dass auf- grund von Lohnschwankungen zu wenig Unterhaltsbeiträge bezahlt worden sind, ist die Differenz gleichermassen bis Ende Mai des laufenden Jahres an die Ge- suchstellerin zu bezahlen. Die Berechnung der für das laufende Jahr geschuldeten Unterhaltsbeiträge erfolgt ebenfalls gestützt auf die vorliegenden Einkommensbelege mit Wirkung ab Januar des laufenden Jahres, erstmals per 1. Januar 2013. Ausgangspunkt ist das durchschnittliche Einkommen im Vorjahr. […]"</w:t>
      </w:r>
    </w:p>
    <w:p>
      <w:r>
        <w:t>- 3 -</w:t>
      </w:r>
    </w:p>
    <w:p>
      <w:r>
        <w:rPr>
          <w:b/>
        </w:rPr>
        <w:t>E. 2</w:t>
      </w:r>
    </w:p>
    <w:p>
      <w:r>
        <w:t>Mit Zahlungsbefehl Nr. ... des Betreibungsamtes Andelfingen vom 5. März 2013 betrieb die Klägerin und Beschwerdegegnerin (nachfolgend: Klägerin) den Beklagten und Beschwerdeführer (nachfolgend: Beklagter) für Unterhalt im Monat März 2013 im Restbetrag von Fr. 897.96 nebst Zins (Urk. 3/6). Mit Zahlungsbefehl Nr. ... des Betreibungsamtes Andelfingen vom 9. April 2013 betrieb die Klägerin den Beklagten für Unterhalt im Monat April 2013 im Betrag von Fr. 1'497.– nebst Zins (Urk. 3/6). Der Beklagte erhob in beiden Betreibungen Rechtsvorschlag. Mit Eingabe vom 24. Juni 2013 verlangte die Klägerin bei der Vorinstanz definitive Rechtsöffnung (Urk. 1). Nach durchgeführter Verhandlung sowie gescheiterten Vergleichsbemühungen hiess diese mit Urteil vom 8. Januar 2014 das Begehren der Klägerin gut (Urk. 16 = Urk. 20 = Urk. 23).</w:t>
      </w:r>
    </w:p>
    <w:p>
      <w:r>
        <w:rPr>
          <w:b/>
        </w:rPr>
        <w:t>E. 3</w:t>
      </w:r>
    </w:p>
    <w:p>
      <w:r>
        <w:t>a) Mehrverdienstklauseln sind wie Indexklauseln möglichst einfach und klar abzufassen, um Schwierigkeiten bei der Eintreibung zu vermeiden (vgl. BGE 100 II 255 E. 6.b). Sie werden zudem mit Vorteil so ausgestaltet, dass die Be- rechnungsgrundlagen im Zeitpunkt der Rentenanpassung bereits bekannt sind. Bezüglich der vorliegenden Mehrverdienstklausel fehlt es – zumindest auf den</w:t>
      </w:r>
    </w:p>
    <w:p>
      <w:r>
        <w:t>- 5 - ersten Blick – an einer solchen Koordination: Die Bekanntgabe der Einkommens- daten (spätestens bis Ende März) und der Zeitpunkt der Neuberechnung per 1. Januar (bzw. 28. Dezember des Vorjahres) sind nicht aufeinander abgestimmt. Immerhin dürften am 28. Dezember regelmässig bereits Lohnabrechnungen für das gesamte Jahr vorliegen. Richtig ist somit einzig, dass am 28. Dezember noch keine Lohnausweise für das aktuelle Jahr vorhanden sind und die Berechnung des Unterhaltsbeitrags für den Januar des Folgejahres daher nicht aufgrund eines aktuellen Lohnausweises erfolgen kann. b) Der Beklagte zieht daraus den Schluss, dass – entgegen dem klaren Wortlaut der Vereinbarung – auf die Zahlen des Vorvorjahres abgestellt werden müsse. Diese Überlegung überzeugt nicht. Der Beklagte verkennt, dass nicht zwingend erforderlich ist, dass der Schuldner im Zeitpunkt der Fälligkeit einer Forderung bereits deren Höhe kennt (vgl. OGer BL vom 31. August 1982, in: SJZ 1984 S. 165; Addorisio de Feo, Die Fälligkeit von Vertragsforderungen, Zürich 2001, N 252). Vorliegend ist es Sache der Klägerin, dem Beklagten die massge- blichen Belege über das von ihr erzielte Einkommen zukommen zu lassen. So- lange dies nicht erfolgt ist, ist dem Beklagten die Begleichung der Unterhalts- schuld nicht zumutbar (vgl. Addorisio de Feo, a.a.O., N 254). Dies kann aber nicht dazu führen, dass die Berechnung auf andere Weise vorgenommen wird. Der Rechtsöffnungstitel ist insofern klar und bedarf keiner weiteren Interpretation. So- bald dem Beklagten die nötigen Belege über das von der Klägerin im Vorjahr er- zielte Erwerbseinkommen vorliegen, lassen sich die für das laufende Jahr ge- schuldeten Unterhaltsbeiträge berechnen. Soweit diese bereits früher fällig ge- worden sind, sind sie dannzumal sogleich zu bezahlen. c) Mit Schreiben vom 4. Februar 2013 wurde dem Beklagten der Lohnaus- weis 2012 der Klägerin zugestellt und eine Berechnung der für das laufende Jahr 2013 geschuldeten Unterhaltsbeiträge vorgenommen (Urk. 7/6). Im Zeitpunkt der Einleitung der ersten Betreibung am 1. März 2013 war die Höhe der Unterhalts- schuld somit liquide belegt. d) Es bleibt an dieser Stelle darauf hinzuweisen, dass keine Anhaltpunkte für eine selbständige Erwerbstätigkeit der Klägerin bestehen. Der Beklagte sieht ei-</w:t>
      </w:r>
    </w:p>
    <w:p>
      <w:r>
        <w:t>- 6 - nen solchen darin, dass bei der Bemessung der Parteientschädigung der Klägerin ein Mehrwertsteuerzuschlag vorgenommen wurde. Damit impliziere die Vo- rinstanz, dass die Klägerin mehrwertsteuerpflichtig sei und eine selbständige Er- werbstätigkeit bestehe (Urk. 22 S. 5). Dem ist nicht so. Als Parteientschädigung gelten u.a. die Kosten der berufsmässigen Vertretung und damit die Anwaltskos- ten (Art. 95 Abs. 3 Bst. b ZPO). Die Dienstleistungen der Anwältinnen und Anwäl- te unterliegen grundsätzlich der Mehrwertsteuer. Der Mehrwertsteuerzuschlag impliziert somit nicht, dass die Klägerin sondern vielmehr deren Anwältin mehr- wertsteuerpflichtig ist. Wäre die Klägerin selbst mehrwertsteuerpflichtig, könnte sie die ihrer Anwältin auf deren Honorar bezahlte Mehrwertsteuer von ihrer eige- nen Mehrwertsteuerabrechnung als Vorsteuer in Abzug bringen und es wäre dementsprechend kein Mehrwertsteuerzuschlag zur Parteientschädigung zuzu- sprechen gewesen (vgl. zum Ganzen das Kreisschreiben der Verwaltungskom- mission des Obergerichts des Kantons Zürich vom 17. Mai 2006 über die Mehr- wertsteuer).</w:t>
      </w:r>
    </w:p>
    <w:p>
      <w:r>
        <w:rPr>
          <w:b/>
        </w:rPr>
        <w:t>E. 4</w:t>
      </w:r>
    </w:p>
    <w:p>
      <w:r>
        <w:t>Uneinigkeit besteht sodann hinsichtlich des in der Scheidungsvereinba- rung verwendeten Einkommensbegriffs. Das im Rahmen der Mehrverdienstklau- sel massgebliche Einkommen der Klägerin wird in Bst. a Abs. 3 der Vereinbarung als Nettoeinkommen, inkl. Anteil 13. Monatsgehalt, Bonus, Provisionen etc., exkl. Ausbildungs- und Kinderzulagen, definiert. Der Beklagte will nun aber den Brutto- lohn berücksichtigt haben und rechnet dazu auch noch die Sozialversicherungs- beiträge des Arbeitgebers, die Kinderzulagen und sogar die von ihm bezahlten Unterhaltsbeiträge hinzu. Er meint, die Begriffe Einkommen, Lohneinkommen, Verdienst und netto seien in der Konvention sehr gezielt gewählt worden (Urk. 22 S. 8). Auch diese Ansicht überzeugt nicht. Es bestehen keine Hinweise dafür, dass in Bst. a Abs. 6 der Vereinbarung ein anderer Einkommensbegriff gemeint wäre als in Bst. a Abs. 3. Dies würde nur schon deshalb keinen Sinn ergeben, weil im Folgejahr gestützt auf Bst. a Abs. 3 auch rückwirkend abgerechnet werden müsste und die Differenz somit ohnehin auszugleichen wäre. Es ist folglich von einem einheitlichen Einkommensbegriff auszugehen. Im Übrigen greift der Be- klagte die Berechnung der Vorinstanz (Urk. 23 E. III/2.d und III/4-6) nicht an.</w:t>
      </w:r>
    </w:p>
    <w:p>
      <w:r>
        <w:t>- 7 -</w:t>
      </w:r>
    </w:p>
    <w:p>
      <w:r>
        <w:rPr>
          <w:b/>
        </w:rPr>
        <w:t>E. 5</w:t>
      </w:r>
    </w:p>
    <w:p>
      <w:r>
        <w:t>Nach dem Gesagten erweist sich die Beschwerde als unbegründet. Sie ist demzufolge abzuweisen. III. Der Beklagte greift die vorinstanzliche Kostenregelung nur für den Fall an, dass er im Hauptpunkt obsiegt. Da dies nicht der Fall ist, ist auf die erstinstanzli- chen Kosten nicht weiter einzugehen. Die Spruchgebühr für das Beschwerdever- fahren ist in Anwendung von Art. 48 in Verbindung mit Art. 61 Abs. 1 GebV SchKG (vgl. ZR 110 Nr. 28) auf Fr. 300.– festzusetzen und ausgangsgemäss dem Beklagten aufzuerlegen (Art. 106 Abs. 1 ZPO). Mangels relevantem Aufwand ist der Klägerin für das Beschwerdeverfahren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