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RT140007 vom 13. März 2014</w:t>
      </w:r>
    </w:p>
    <w:p>
      <w:r>
        <w:t>ZH Obergericht, 2014-03-13, DE</w:t>
      </w:r>
    </w:p>
    <w:p>
      <w:r>
        <w:rPr>
          <w:b/>
        </w:rPr>
        <w:t xml:space="preserve">Quelle: </w:t>
      </w:r>
      <w:r>
        <w:t>https://mcp.opencaselaw.ch/entscheid/zh_obergericht_RT140007</w:t>
      </w:r>
    </w:p>
    <w:p>
      <w:r>
        <w:t>FR: ZH_OBERGERICHT RT140007 du 13 mars 2014</w:t>
      </w:r>
    </w:p>
    <w:p>
      <w:r>
        <w:t>IT: ZH_OBERGERICHT RT140007 del 13 marzo 2014</w:t>
      </w:r>
    </w:p>
    <w:p>
      <w:pPr>
        <w:pStyle w:val="Heading2"/>
      </w:pPr>
      <w:r>
        <w:t>Erwägungen</w:t>
      </w:r>
    </w:p>
    <w:p>
      <w:r>
        <w:rPr>
          <w:b/>
        </w:rPr>
        <w:t>E. 1</w:t>
      </w:r>
    </w:p>
    <w:p>
      <w:r>
        <w:t>a) Am 21. Oktober 2013 hatte das Bezirksgericht Zürich, Einzelge- richt Audienz, für eine Forderung des Gesuchstellers über Fr. 237'585.45 nebst Zins gegen die Gesuchsgegnerin einen Arrestbefehl erlassen (Urk. 5/3). Gegen den darauf folgenden Zahlungsbefehl vom 11. November 2013 erhob die Ge- suchsgegnerin Rechtsvorschlag (Urk. 5/4). Am tt. November 2013 verstarb der Gesuchsteller (Urk. 10 S. 4). Am 27. Dezember 2013 stellte der Rechtsvertreter des Gesuchstellers in dessen Namen beim Bezirksgericht Zürich, Einzelgericht Audienz (Vorinstanz) das Gesuch um definitive Rechtsöffnung in der Betreibung Nr. … des Betreibungsamts Zürich … (Zahlungsbefehl vom 11. November 2013) für Fr. 237'585.45 nebst Zinsen (Urk. 1). Mit Verfügung vom 6. Januar 2014 trat die Vorinstanz auf das Rechtsöffnungsgesuch nicht ein; die Kosten wurden dem Rechtsvertreter des Gesuchstellers auferlegt und es wurde keine Parteientschä- digung zugesprochen (Urk. 7 = Urk. 11). b) Hiergegen hat der Rechtsvertreter des Gesuchstellers in dessen Na- men am 24. Januar 2014 fristgerecht Beschwerde erhoben und stellt die Be- schwerdeanträge (Urk. 10 S. 2): "1. Der Nichteintretensentscheid der Vorinstanz sei aufzuheben und in der Betreibung Nr. … des Betreibungsamts Zürich (Zahlungsbefehl vom 11. November 2013) sei dem Beschwerdeführer definitive Rechtsöffnung zu erteilen für Fr. 237'585.45 sowie für folgende Zinsen: [...]</w:t>
      </w:r>
    </w:p>
    <w:p>
      <w:r>
        <w:rPr>
          <w:b/>
        </w:rPr>
        <w:t>E. 2</w:t>
      </w:r>
    </w:p>
    <w:p>
      <w:r>
        <w:t>Eventualiter: Der Nichteintretensentscheid der Vorinstanz sei aufzuhe- ben und die Vorinstanz anzuweisen, aufgrund der Akten einen Ent- scheid zu fällen.</w:t>
      </w:r>
    </w:p>
    <w:p>
      <w:r>
        <w:rPr>
          <w:b/>
        </w:rPr>
        <w:t>E. 3</w:t>
      </w:r>
    </w:p>
    <w:p>
      <w:r>
        <w:t>a) Die Vorinstanz erwog, weil der Gesuchsteller verstorben sei, fehle es ihm an der Rechtsfähigkeit und folglich auch an der Parteifähigkeit. Da es so- mit an einer Prozessvoraussetzung gebreche, sei auf das Rechtsöffnungsgesuch nicht einzutreten (Urk. 11 S. 2). b) Der Rechtsvertreter des Gesuchstellers macht mit der Beschwerde gel- tend, im Falle des Todes einer Partei müsse deren Rechtsvertreter den Prozess im Namen der verstorbenen Partei fortsetzen können, bis die Erben bekannt sei- en (Urk. 10 S. 6 f.). c) Dies ist nach den vorstehenden Ausführungen zutreffend; die Einlei- tung des Rechtsöffnungsverfahrens im Namen des verstorbenen Gesuchstellers war zulässig (oben Erw. 2.a-e). d) Demgemäss ist die angefochtene Verfügung vom 6. Januar 2014 auf- zuheben. Nachdem zum Rechtsöffnungsbegehren noch keine Stellungnahme eingeholt wurde, ist die Sache zur Fortführung des Rechtsöffnungsverfahrens an die Vorinstanz zurückzuweisen (Art. 327 Abs. 3 lit. a ZPO). Diese wird zunächst die Erben zu ermitteln und deren Erklärung zur Weiterführung des Rechtsöff- nungsverfahrens sowie die notwendigen Vollmachten einzuholen haben.</w:t>
      </w:r>
    </w:p>
    <w:p>
      <w:r>
        <w:rPr>
          <w:b/>
        </w:rPr>
        <w:t>E. 4</w:t>
      </w:r>
    </w:p>
    <w:p>
      <w:r>
        <w:t>a) Für das Beschwerdeverfahren ist von einem Streitwert in Höhe von Fr. 237'585.45 auszugehen. Die zweitinstanzliche Entscheidgebühr ist in An- wendung von Art. 48 i.V.m. Art. 61 Abs. 1 GebV SchKG (vgl. ZR 110/2011 Nr. 28) auf Fr. 500.-- festzusetzen. b) Die Verteilung der Prozesskosten des Beschwerdeverfahrens ist der Vorinstanz zu überlassen (Art. 104 Abs. 4 ZPO).</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