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RT130211 vom 23. Januar 2014</w:t>
      </w:r>
    </w:p>
    <w:p>
      <w:r>
        <w:t>ZH Obergericht, 2014-01-23, DE</w:t>
      </w:r>
    </w:p>
    <w:p>
      <w:r>
        <w:rPr>
          <w:b/>
        </w:rPr>
        <w:t xml:space="preserve">Quelle: </w:t>
      </w:r>
      <w:r>
        <w:t>https://mcp.opencaselaw.ch/entscheid/zh_obergericht_RT130211</w:t>
      </w:r>
    </w:p>
    <w:p>
      <w:r>
        <w:t>FR: ZH_OBERGERICHT RT130211 du 23 janvier 2014</w:t>
      </w:r>
    </w:p>
    <w:p>
      <w:r>
        <w:t>IT: ZH_OBERGERICHT RT130211 del 23 gennaio 2014</w:t>
      </w:r>
    </w:p>
    <w:p>
      <w:pPr>
        <w:pStyle w:val="Heading2"/>
      </w:pPr>
      <w:r>
        <w:t>Erwägungen</w:t>
      </w:r>
    </w:p>
    <w:p>
      <w:r>
        <w:rPr>
          <w:b/>
        </w:rPr>
        <w:t>E. 2</w:t>
      </w:r>
    </w:p>
    <w:p>
      <w:r>
        <w:t>Da sich die Beschwerde der Klägerin als offensichtlich unbegründet erweist, erübrigt sich das Einholen einer Beschwerdeantwort (Art. 322 Abs. 1 ZPO). 3.1. Mit der Beschwerde können unrichtige Rechtsanwendung und offensichtlich unrichtige Feststellung des Sachverhalts geltend gemacht werden (Art. 320 ZPO). Im Beschwerdeverfahren gilt das Rügeprinzip (Sutter-Somm/Hasenböhler/Leuen- berger [Hrsg.], Kommentar zur Schweizerischen Zivilprozessordnung, N 15 zu Art. 321 ZPO), d.h. die Beschwerde führende Partei hat im Einzelnen darzulegen, an welchen Mängeln (unrichtige Rechtsanwendung, offensichtlich unrichtige Fest- stellung des Sachverhalts) der angefochtene Entscheid ihrer Ansicht nach leidet. Was nicht gerügt wird, hat Bestand. Werden keine oder ungenügende Rügen er- hoben, stellt dies einen nicht behebbaren Mangel dar (vgl. Art. 132 ZPO), d.h. ist nicht eine Nachfrist zur ergänzenden Begründung anzusetzen, sondern ist die Beschwerde abzuweisen. Gemäss Art. 326 Abs. 1 ZPO sind im Beschwerdeverfahren neue Anträge, neue Tatsachenbehauptungen und neue Beweismittel ausgeschlossen. Dies wird mit dem Charakter der Beschwerde begründet, die sich als ausserordentliches Rechtsmittel im Wesentlichen auf die Rechtskontrolle beschränkt und nicht das erstinstanzliche Verfahren fortsetzen soll. Das Novenverbot ist umfassend und gilt sowohl für echte wie auch für unechte Noven (Sutter-Somm/Hasenböhler/Leuen- berger, a.a.O., N 3 f. zu Art. 326 ZPO).</w:t>
      </w:r>
    </w:p>
    <w:p>
      <w:r>
        <w:t>- 3 - 3.2. Die Klägerin stellte ihr Rechtsöffnungsbegehren an die Vorinstanz mittels ei- nes Formulars (Urk. 3) samt Beilagen (Urk. 4/1-6), ohne diesen Unterlagen eine (weitere) Begründung beizufügen. An der erstinstanzlichen Verhandlung nahm schliesslich kein Vertreter der Klägerin teil (vgl. VI-Prot. S. 4), obwohl diese kor- rekt vorgeladen worden war (vgl. Urk. 6 und 7/2). Damit stellen sämtliche Ausfüh- rungen der Klägerin, welche über das vor Vorinstanz Vorgebrachte hinausgehen, wie auch die Beilagen, welche nicht bereits vor Vorinstanz eingereicht worden sind (Urk. 18/2-8, 10, 11, 13 und 14), unzulässige Noven dar, welche im Be- schwerdeverfahren nicht mehr berücksichtigt werden können. Dies gilt insbeson- dere auch für die Ausführungen der Klägerin zu allfälligen von ihrer Seite erbrach- ten vertraglichen Leistungen, welche durch den Beklagten und Beschwerdegeg- ner (fortan Beklagter) vor Vorinstanz bestritten wurden, was schlussendlich ge- stützt auf die sog. Basler Rechtsöffnungspraxis zur Abweisung des Rechtsöff- nungsbegehrens der Klägerin geführt hat (vgl. Urk. 16 S. 6 f.). Damit bringt die Klägerin keine genügenden Rügen am heute angefochtenen Entscheid vor, wes- halb die Beschwerde abzuweisen ist.</w:t>
      </w:r>
    </w:p>
    <w:p>
      <w:r>
        <w:rPr>
          <w:b/>
        </w:rPr>
        <w:t>E. 5</w:t>
      </w:r>
    </w:p>
    <w:p>
      <w:r>
        <w:t>Ausgangsgemäss sind die Verfahrenskosten in Anwendung von Art. 48 und Art. 61 GebV SchKG auf Fr. 300.– festzusetzen und gestützt auf Art. 106 Abs. 1 ZPO der Klägerin aufzuerlegen. Dem Beklagten ist mangels wesentlicher Umtrie- be für das Beschwerdeverfahren keine 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