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RT130200 vom 9. Dezember 2013</w:t>
      </w:r>
    </w:p>
    <w:p>
      <w:r>
        <w:t>ZH Obergericht, 2013-12-09, DE</w:t>
      </w:r>
    </w:p>
    <w:p>
      <w:r>
        <w:rPr>
          <w:b/>
        </w:rPr>
        <w:t xml:space="preserve">Quelle: </w:t>
      </w:r>
      <w:r>
        <w:t>https://mcp.opencaselaw.ch/entscheid/zh_obergericht_RT130200</w:t>
      </w:r>
    </w:p>
    <w:p>
      <w:r>
        <w:t>FR: ZH_OBERGERICHT RT130200 du 9 décembre 2013</w:t>
      </w:r>
    </w:p>
    <w:p>
      <w:r>
        <w:t>IT: ZH_OBERGERICHT RT130200 del 9 dicembre 2013</w:t>
      </w:r>
    </w:p>
    <w:p>
      <w:pPr>
        <w:pStyle w:val="Heading2"/>
      </w:pPr>
      <w:r>
        <w:t>Erwägungen</w:t>
      </w:r>
    </w:p>
    <w:p>
      <w:r>
        <w:rPr>
          <w:b/>
        </w:rPr>
        <w:t>E. 1</w:t>
      </w:r>
    </w:p>
    <w:p>
      <w:r>
        <w:t>Mit Urteil vom 14. November 2013 erteilte die Vorinstanz dem Gesuch- steller und Beschwerdegegner (fortan Gesuchsteller) in der Betreibung Nr. … des Betreibungsamtes Zürich … (Zahlungsbefehl vom 20. August 2013) gestützt auf einen Beschluss des Arbeitsgerichts Zürich vom 14. Dezember 2006 (Urk. 3/2), Präsidialverfügungen des Arbeitsgerichts Zürich vom 26. Februar 2007 (Urk. 3/3), eine Verfügung des Einzelrichteramtes in Erbschaftssachen des Bezirksgerichts Zürich vom 8. November 2004 (Urk. 3/4), einen Beschluss des Obergerichts des Kantons Zürich vom 13. Februar 2007 (Urk. 3/5) sowie auf ein Urteil des Verwal- tungsgerichts des Kantons Zürich vom 21. September 2011 (Urk. 3/6; alle in Rechtskraft erwachsen) für ausstehende Gerichtsgebühren definitive Rechtsöff- nung für Fr. 4'800.– (Urk. 13 S. 2 E. 2.1 und S. 4 Dispositivziffer 3). Gleichentags verfügte die Vorinstanz, dass auf die Widerklage des Ge- suchsgegners und Beschwerdeführers (fortan Gesuchsgegner) nicht eingetreten und sein Gesuch um Gewährung der unentgeltlichen Rechtspflege abgewiesen werde (Urk. 13 S. 4 Dispositivziffern 1 und 2).</w:t>
      </w:r>
    </w:p>
    <w:p>
      <w:r>
        <w:rPr>
          <w:b/>
        </w:rPr>
        <w:t>E. 2</w:t>
      </w:r>
    </w:p>
    <w:p>
      <w:r>
        <w:t>Mit fristgerechter Eingabe vom 28. November 2013 erhob der Gesuchs- gegner Beschwerde gegen die Verfügung vom 14. November 2013 (Urk. 12).</w:t>
      </w:r>
    </w:p>
    <w:p>
      <w:r>
        <w:rPr>
          <w:b/>
        </w:rPr>
        <w:t>E. 3</w:t>
      </w:r>
    </w:p>
    <w:p>
      <w:r>
        <w:t>a) Der Gesuchsgegner bringt in seiner Beschwerde vor, dass man ihm ei- nen Stempel geben solle, damit er mittun und seine Widerklage über Fr. 3,45 Mio. legalisieren könne. Alternativ könne man ihm auch mitteilen, wo er die Widerklage einzureichen habe. Man solle zur Kenntnis nehmen, dass ihm keine Mittel zur Be- gleichung der bestrittenen Forderung und anderer Kosten zur Verfügung stehen würden – auch wenn er wollen würde! Die Widerklage werde er nötigenfalls mit der entsprechenden Geschichte und mit Dokumenten untermauert wieder einrei- chen. Selbstverständlich erwarte er eine kostenfreie Bearbeitung (Urk. 12). b) Schon die Vorinstanz hat in ihrer Rechtsmittelbelehrung (Urk. 13 S. 4 Dispositivziffer 7) darauf hingewiesen, dass in der Beschwerdeschrift Anträge zu</w:t>
      </w:r>
    </w:p>
    <w:p>
      <w:r>
        <w:t>- 3 - stellen und zu begründen sind. Die Beschwerde des Gesuchsgegners enthält je- doch keine sich auf das Dispositiv des angefochtenen Entscheides beziehenden Anträge und ebenso wenig eine genügende Begründung (vgl. Urk. 12). Auf die Beschwerde ist daher nicht einzutreten. c) Der Gesuchsgegner ist im Übrigen darauf hinzuweisen, dass das Gericht im Verfahren auf definitive Rechtsöffnung nicht mehr prüfen darf, ob eine Forde- rung zu Recht besteht oder nicht. Die Vorinstanz war daher gar nicht befugt zu prüfen, ob der Beschluss des Arbeitsgerichts Zürich vom 14. Dezember 2006 (Urk. 3/2), die Präsidialverfügungen des Arbeitsgerichts Zürich vom 26. Februar 2007 (Urk. 3/3), die Verfügung des Einzelrichteramtes in Erbschaftssachen des Bezirksgerichts Zürich vom 8. November 2004 (Urk. 3/4), der Beschluss des Obergerichts des Kantons Zürich vom 13. Februar 2007 (Urk. 3/5) und das Urteil des Verwaltungsgerichts des Kantons Zürich vom 21. September 2011 (Urk. 3/6) in Bezug auf die Gerichtsgebühren korrekt waren oder nicht. Diese Prüfung hätte in einem allfälligen Rechtsmittelverfahren gegen jene Entscheide vorgenommen werden können, jedoch nicht mehr im Rahmen der Rechtsöffnung.</w:t>
      </w:r>
    </w:p>
    <w:p>
      <w:r>
        <w:rPr>
          <w:b/>
        </w:rPr>
        <w:t>E. 4</w:t>
      </w:r>
    </w:p>
    <w:p>
      <w:r>
        <w:t>Gemäss Art. 117 ZPO hat eine Person Anspruch auf unentgeltliche Rechtspflege, wenn sie nicht über die erforderlichen Mittel verfügt und ihr Rechts- begehren nicht aussichtslos erscheint. Die Beschwerde war wie aufgezeigt von vorneherein aussichtslos, weshalb dem Gesuchsgegner für das zweitinstanzliche Verfahren die von ihm sinngemäss beantragte unentgeltliche Rechtspflege nicht gewährt werden kann.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300.– festzusetzen.</w:t>
      </w:r>
    </w:p>
    <w:p>
      <w:r>
        <w:t>- 4 - b) Mangels wesentlicher Umtriebe ist dem Gesuchsteller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