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RT130189 vom 11. November 2013</w:t>
      </w:r>
    </w:p>
    <w:p>
      <w:r>
        <w:t>ZH Obergericht, 2013-11-11, DE</w:t>
      </w:r>
    </w:p>
    <w:p>
      <w:r>
        <w:rPr>
          <w:b/>
        </w:rPr>
        <w:t xml:space="preserve">Quelle: </w:t>
      </w:r>
      <w:r>
        <w:t>https://mcp.opencaselaw.ch/entscheid/zh_obergericht_RT130189</w:t>
      </w:r>
    </w:p>
    <w:p>
      <w:r>
        <w:t>FR: ZH_OBERGERICHT RT130189 du 11 novembre 2013</w:t>
      </w:r>
    </w:p>
    <w:p>
      <w:r>
        <w:t>IT: ZH_OBERGERICHT RT130189 del 11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26. September 2013 wies das Bezirksgericht Zürich (Vorinstanz) das Rechtsöffnungsgesuch der Gesuchstellerin in der Betreibung Nr. … des Betreibungsamts Zürich 1 (Zahlungsbefehl vom 30. April 2013) – für Ent- gelt für Reinigungsarbeiten für den Monat März 2013 – ab; die Kosten- und Ent- schädigungsfolgen wurden zu Lasten der Gesuchstellerin geregelt (Urk. 20c = Urk. 24). b) Hiergegen hat die Gesuchstellerin am 31. Oktober 2013 fristgerecht (Urk. 22) Beschwerde erhoben (Urk. 23). c) Die vorinstanzlichen Akten wurden beigezogen. Da sich die Beschwer- de sogleich als unbegründet bzw. unzulässig erweist, kann auf die Einholung ei- ner Beschwerdeantwort verzichtet werden (Art. 322 Abs. 1 ZPO).</w:t>
      </w:r>
    </w:p>
    <w:p>
      <w:r>
        <w:rPr>
          <w:b/>
        </w:rPr>
        <w:t>E. 2</w:t>
      </w:r>
    </w:p>
    <w:p>
      <w:r>
        <w:t>Mit der Beschwerde können unrichtige Rechtsanwendung und offen- sichtlich unrichtige Feststellung des Sachverhalts geltend gemacht werden (Art. 320 ZPO). Die Beschwerdeschrift muss konkrete Anträge enthalten, wie und in welchem Umfang der angefochtene Entscheid abgeändert werden soll; ebenso muss die Beschwerdeschrift eine Begründung enthalten (Art. 321 Abs. 1 ZPO). Beide Anforderungen waren in der vorinstanzlichen Rechtsmittelbelehrung aufge- führt (Urk. 24 S. 7 Entscheid Ziffer 5). Die Beschwerdeschrift der Gesuchstellerin enthält jedoch weder das eine noch das andere; sie beschränkt sich auf den ein- zigen Satz, dass Beschwerde gegen den Entscheid vom 26. September 2013 er- hoben werde (Urk. 23). Demgemäss kann auf die Beschwerde nicht eingetreten werden.</w:t>
      </w:r>
    </w:p>
    <w:p>
      <w:r>
        <w:rPr>
          <w:b/>
        </w:rPr>
        <w:t>E. 3</w:t>
      </w:r>
    </w:p>
    <w:p>
      <w:r>
        <w:t>a) Für das Beschwerdeverfahren beträgt der Streitwert Fr. 1'358.40. Die zweitinstanzliche Entscheidgebühr ist in Anwendung von Art. 48 i.V.m. Art. 61 Abs. 1 GebV SchKG (vgl. ZR 110/2011 Nr. 28) auf Fr. 200.– festzusetzen. b) Die Gerichtskosten des Beschwerdeverfahrens sind ausgangsgemäss der unterliegenden Gesuchstellerin aufzuerlegen (Art. 106 Abs. 1 ZPO).</w:t>
      </w:r>
    </w:p>
    <w:p>
      <w:r>
        <w:t>- 3 - c) Für das Beschwerdeverfahren sind keine Parteientschädigungen zuzu- sprechen, der Gesuchsgegnerin mangels relevanter Umtriebe (vgl. Art. 95 Abs. 3 ZPO), der Gesuchstellerin zufolge von deren Unterliegen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