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RT130183 vom 14. November 2013</w:t>
      </w:r>
    </w:p>
    <w:p>
      <w:r>
        <w:t>ZH Obergericht, 2013-11-14, DE</w:t>
      </w:r>
    </w:p>
    <w:p>
      <w:r>
        <w:rPr>
          <w:b/>
        </w:rPr>
        <w:t xml:space="preserve">Quelle: </w:t>
      </w:r>
      <w:r>
        <w:t>https://mcp.opencaselaw.ch/entscheid/zh_obergericht_RT130183</w:t>
      </w:r>
    </w:p>
    <w:p>
      <w:r>
        <w:t>FR: ZH_OBERGERICHT RT130183 du 14 novembre 2013</w:t>
      </w:r>
    </w:p>
    <w:p>
      <w:r>
        <w:t>IT: ZH_OBERGERICHT RT130183 del 14 novembre 2013</w:t>
      </w:r>
    </w:p>
    <w:p>
      <w:pPr>
        <w:pStyle w:val="Heading2"/>
      </w:pPr>
      <w:r>
        <w:t>Erwägungen</w:t>
      </w:r>
    </w:p>
    <w:p>
      <w:r>
        <w:rPr>
          <w:b/>
        </w:rPr>
        <w:t>E. 1</w:t>
      </w:r>
    </w:p>
    <w:p>
      <w:r>
        <w:t>Mit "Entscheid" vom 3. September 2013 (Urk. 13) erteilte die Vorinstanz der Gesuchstellerin und Beschwerdegegnerin (fortan Gesuchstellerin) Rechtsöffnung in der Betreibung Nr. … des Betreibungsamtes C._____ (Zahlungsbefehl vom 12. November 2012) für Fr. 1'329.20 nebst Zins und wies das Gesuch im Mehrbetrag ab, soweit sie darauf eintrat. Weiter wurde entschieden, die Spruchgebühr von Fr. 300.– werde von der Gesuchstellerin bezogen, sei ihr aber von der Gesuchsgeg- nerin und Beschwerdeführerin (fortan Gesuchsgegnerin) zu ersetzen. 2.1. Hiergegen erhob die Gesuchsgegnerin mit Eingabe vom 17. Oktober 2013 (Urk. 12) rechtzeitig Beschwerde, wobei die Beschwerdeschrift nicht unterschrie- ben war. Diesen Mangel beseitigte die Gesuchsgegnerin indes innert der ihr hier- für mit Verfügung vom 29. Oktober 2013 (Urk. 15) angesetzten Frist durch Einrei- chung eines unterschriebenen Exemplars der Beschwerdeschrift (Urk. 16). 2.2. Die Gesuchsgegnerin beantragt in ihrer Beschwerde die Aufhebung des vo- rinstanzlichen Entscheids sowie die Feststellung, dass sie "keinen Bezug zur For- derung der D._____" aufweise. Ausserdem verlangt sie, dass die Kosten auf die Gerichtskasse, "subsidiär zu Lasten der D._____ und von E._____, F._____, G._____" zu nehmen seien (Urk. 12 und 16 S. 2). 2.3. Da sich die Beschwerde sogleich als unbegründet erweist und daher abzu- weisen ist, erübrigt sich das Einholen einer Beschwerdeantwort. 3.1. Mit der Beschwerde können unrichtige Rechtsanwendung und offensichtlich unrichtige Feststellung des Sachverhalts geltend gemacht werden (Art. 320 ZPO). Im Beschwerdeverfahren gilt das Rügeprinzip (Freiburghaus/Afheldt, in: Sutter- Somm/Hasenböhler/Leuenberger, Kommentar zur Schweizerischen Zivilprozess- ordnung (ZPO), Zürich/Basel/Genf 2013, N 15 zu Art. 321 ZPO), d.h. die Be- schwerde führende Partei hat im Einzelnen darzulegen, an welchen Mängeln (un- richtige Rechtsanwendung, offensichtlich unrichtige Feststellung des Sachver- halts) der angefochtene Entscheid ihrer Ansicht nach leidet. Was nicht gerügt wird, hat grundsätzlich Bestand.</w:t>
      </w:r>
    </w:p>
    <w:p>
      <w:r>
        <w:t>- 3 - 3.2. Diesen Vorgaben vermag die Beschwerde der Gesuchsgegnerin nicht zu genügen, da sie sich nicht mit den vorinstanzlichen Erwägungen auseinander- setzt. Die Vorbringen der Gesuchsgegnerin erschöpfen sich vielmehr in allgemei- nen Ausführungen zu Vorgängen und Geschäften im Sex- und Drogenmilieu an der … …strasse. Soweit die Gesuchsgegnerin ihre Passivlegitimation bestreitet, ist sie auf die korrekte Begründung der Vorinstanz (Urk. 13 S. 3) sowie den Ein- trag im Handelsregister des Kantons Zürich (Urk. 17) zu verweisen, wonach es sich bei der Bezeichnung "H._____ GmbH", welche auf dem Rechtsöffnungstitel vermerkt ist, um den vormaligen Namen der Gesuchsgegnerin selbst handelt, was von ihr auch nicht bestritten wurde. Es besteht daher kein Anlass, an der Passiv- legitimation der Gesuchsgegnerin zu zweifeln. 3.3. Zudem sind im Beschwerdeverfahren gemäss Art. 326 Abs. 1 ZPO neue An- träge, neue Tatsachenbehauptungen und neue Beweismittel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als auch für unechte Noven (Freiburghaus/Afheldt, in: Sutter-Somm/Hasenböhler/Leuenberger, ZPO-Komm., a.a.O., Art. 326 N 3 f.). 3.4. Aufgrund des geltenden Novenverbotes können vorliegend weder das von der Gesuchsgegnerin im Beschwerdeverfahren neu eingereichte Dokument (Urk. 14), noch die von ihr im Rechtsmittelverfahren erstmals – sie hat sich vor Vorinstanz nicht vernehmen lassen (Urk. 13 S. 2) – vorgebrachten Anträge und Tatsachenbehauptungen berücksichtigt werden. 3.5. Die Beschwerde ist somit also offensichtlich unbegründet abzuweisen.</w:t>
      </w:r>
    </w:p>
    <w:p>
      <w:r>
        <w:rPr>
          <w:b/>
        </w:rPr>
        <w:t>E. 4</w:t>
      </w:r>
    </w:p>
    <w:p>
      <w:r>
        <w:t>Ausgangsgemäss sind die Verfahrenskosten in Anwendung von Art. 48 und Art. 61 GebV SchKG auf Fr. 300.– festzusetzen und gestützt auf Art. 106 Abs. 1 ZPO der Gesuchsgsgegnerin aufzuerlegen. Der Gesuchstellerin ist mangels we- sentlicher Umtriebe für das Beschwerdeverfahren keine Entschädigung zuzuspre- 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