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RT130182 vom 11. November 2013</w:t>
      </w:r>
    </w:p>
    <w:p>
      <w:r>
        <w:t>ZH Obergericht, 2013-11-11, DE</w:t>
      </w:r>
    </w:p>
    <w:p>
      <w:r>
        <w:rPr>
          <w:b/>
        </w:rPr>
        <w:t xml:space="preserve">Quelle: </w:t>
      </w:r>
      <w:r>
        <w:t>https://mcp.opencaselaw.ch/entscheid/zh_obergericht_RT130182</w:t>
      </w:r>
    </w:p>
    <w:p>
      <w:r>
        <w:t>FR: ZH_OBERGERICHT RT130182 du 11 novembre 2013</w:t>
      </w:r>
    </w:p>
    <w:p>
      <w:r>
        <w:t>IT: ZH_OBERGERICHT RT130182 del 11 novembre 2013</w:t>
      </w:r>
    </w:p>
    <w:p>
      <w:pPr>
        <w:pStyle w:val="Heading2"/>
      </w:pPr>
      <w:r>
        <w:t>Erwägungen</w:t>
      </w:r>
    </w:p>
    <w:p>
      <w:r>
        <w:rPr>
          <w:b/>
        </w:rPr>
        <w:t>E. 2</w:t>
      </w:r>
    </w:p>
    <w:p>
      <w:r>
        <w:t>Da auf die vorliegende Beschwerde nicht einzutreten ist, erübrigt sich das Einholen einer Beschwerdeantwort. 3.1. Mit der Beschwerde können unrichtige Rechtsanwendung und offensichtlich unrichtige Feststellung des Sachverhalts geltend gemacht werden (Art. 320 ZPO). Die Beschwerdeschrift hat konkrete Rechtsbegehren zu enthalten und ist zu be- gründen – worauf schon in der vorinstanzlichen Rechtsmittelbelehrung hingewie- sen wurde (Urk. 2 S. 3). 3.2. Diesen formellen Anforderungen vermag die Beschwerde des Beklagten nicht zu genügen. Zum einen stellt er keine konkreten Rechtsbegehren; zum an- deren fehlt jegliche Begründung und Auseinandersetzung mit den vorinstanzli- chen Entscheidgründen. 3.3. Auf die Beschwerde ist daher nicht einzutreten, ohne dass eine Nachfrist anzusetzen wäre (Sutter-Somm/Hasenböhler/Leuenberger [Hrsg.], Kommentar ZPO, N 34 f. zu Art. 311 ZPO i.V.m. N 14 zu Art. 321 ZPO). 3.4. Lediglich der Vollständigkeit halber sei erwähnt, dass auf die Beschwerde auch dann nicht hätte eingetreten werden können, wenn sie den vorstehend wie- dergegebenen formellen Anforderungen genügt hätte. Gemäss Art. 59 Abs. 1 ZPO tritt das Gericht auf eine Klage oder ein Gesuch ein, sofern die Prozessvo- raussetzungen erfüllt sind. Eine dieser Prozessvoraussetzungen ist das schutz- würdige Interesse der klagenden oder gesuchstellenden Partei (Art. 59 Abs. 2 lit. a ZPO). Mit der vorliegend angefochtenen Verfügung wurde dem Kläger Frist</w:t>
      </w:r>
    </w:p>
    <w:p>
      <w:r>
        <w:t>- 3 - zur Leistung eines Kostenvorschusses angesetzt. Der Beklagte ist durch diese Verfügung nicht beschwert, weshalb er auch kein rechtlich geschütztes Interesse an deren Aufhebung hat. Allfällige Vorbringen gegen die gegnerische Forderung sind vor Vorinstanz im Rechtsöffnungsverfahren vorzutragen.</w:t>
      </w:r>
    </w:p>
    <w:p>
      <w:r>
        <w:rPr>
          <w:b/>
        </w:rPr>
        <w:t>E. 4</w:t>
      </w:r>
    </w:p>
    <w:p>
      <w:r>
        <w:t>Ausgangsgemäss sind die Verfahrenskosten in Anwendung von Art. 48 und Art. 61 GebV SchKG auf Fr. 150.– festzusetzen und gestützt auf Art. 106 Abs. 1 ZPO dem Beklagten aufzuerlegen. Dem Kläger ist mangels wesentlicher Umtrie- be für das Beschwerdeverfahren keine Entschädigung zuzusprechen.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