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RT130180 vom 11. November 2013</w:t>
      </w:r>
    </w:p>
    <w:p>
      <w:r>
        <w:t>ZH Obergericht, 2013-11-11, DE</w:t>
      </w:r>
    </w:p>
    <w:p>
      <w:r>
        <w:rPr>
          <w:b/>
        </w:rPr>
        <w:t xml:space="preserve">Quelle: </w:t>
      </w:r>
      <w:r>
        <w:t>https://mcp.opencaselaw.ch/entscheid/zh_obergericht_RT130180</w:t>
      </w:r>
    </w:p>
    <w:p>
      <w:r>
        <w:t>FR: ZH_OBERGERICHT RT130180 du 11 novembre 2013</w:t>
      </w:r>
    </w:p>
    <w:p>
      <w:r>
        <w:t>IT: ZH_OBERGERICHT RT130180 del 11 novembre 2013</w:t>
      </w:r>
    </w:p>
    <w:p>
      <w:pPr>
        <w:pStyle w:val="Heading2"/>
      </w:pPr>
      <w:r>
        <w:t>Erwägungen</w:t>
      </w:r>
    </w:p>
    <w:p>
      <w:r>
        <w:rPr>
          <w:b/>
        </w:rPr>
        <w:t>E. 1</w:t>
      </w:r>
    </w:p>
    <w:p>
      <w:r>
        <w:t>Mit Urteil vom 3. Oktober 2013 bewilligte die Vorinstanz den Rechtsvor- schlag mangels neuen Vermögens des Gesuchstellers und Beschwerdeführers (fortan Gesuchsteller) in der Betreibung Nr. … des Betreibungsamtes Wald- Fischenthal ZH (Zahlungsbefehl vom 24. Juni 2013) nicht. Ausserdem wurde die Spruchgebühr für das erstinstanzliche Verfahren auf Fr. 300.– festgesetzt und diese Kosten dem Gesuchsteller auferlegt. Der Gesuchsgegnerin und Beschwer- degegnerin (fortan Gesuchsgegnerin) wurde keine Parteientschädigung zuge- sprochen.</w:t>
      </w:r>
    </w:p>
    <w:p>
      <w:r>
        <w:rPr>
          <w:b/>
        </w:rPr>
        <w:t>E. 2</w:t>
      </w:r>
    </w:p>
    <w:p>
      <w:r>
        <w:t>Hiergegen erhob der Gesuchsteller mit Eingabe vom 15. Oktober 2013 (Da- tum des Poststempels: 21. Oktober 2013) rechtzeitig (vgl. Urk. 7) Beschwerde (Urk. 8). 3.1. Mit der Beschwerde können unrichtige Rechtsanwendung und offensichtlich unrichtige Feststellung des Sachverhalts geltend gemacht werden (Art. 320 ZPO). Die Beschwerdeschrift hat konkrete Rechtsbegehren zu enthalten und ist zu be- gründen – worauf schon in der vorinstanzlichen Rechtsmittelbelehrung hingewie- sen wurde (Urk. 9 S. 3). 3.2. Diesen formellen Anforderungen vermag die Beschwerdeschrift (Urk. 8) des Gesuchstellers klar nicht zu genügen. Weder enthält sie ein auf den erstinstanzli- chen Entscheid bezogenes Rechtsbegehren noch setzt sie sich mit den vo- rinstanzlichen Entscheidgründen auseinander. Lediglich der Überschrift "Be- schwerde gegen die Kosten- und Entschädigungsfolgen" lässt sich entnehmen, dass sich die Beschwerde des Gesuchstellers gegen das vorinstanzliche Kosten- dispositiv (Dispositiv-Ziffern 2-4, Urk. 9) richtet. Somit ist auf die Beschwerde nicht einzutreten.</w:t>
      </w:r>
    </w:p>
    <w:p>
      <w:r>
        <w:t>- 3 -</w:t>
      </w:r>
    </w:p>
    <w:p>
      <w:r>
        <w:rPr>
          <w:b/>
        </w:rPr>
        <w:t>E. 4</w:t>
      </w:r>
    </w:p>
    <w:p>
      <w:r>
        <w:t>Ausgangsgemäss sind die Verfahrenskosten in Anwendung von Art. 48 und Art. 61 GebV SchKG auf Fr. 150.– festzusetzen und gestützt auf Art. 106 Abs. 1 ZPO dem Gesuchsteller aufzuerlegen. Der Gesuchsgegnerin ist mangels wesent- licher Umtriebe für das Beschwerdeverfahren keine Entschädigung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