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RT130177 vom 11. Februar 2014</w:t>
      </w:r>
    </w:p>
    <w:p>
      <w:r>
        <w:t>ZH Obergericht, 2014-02-11, DE</w:t>
      </w:r>
    </w:p>
    <w:p>
      <w:r>
        <w:rPr>
          <w:b/>
        </w:rPr>
        <w:t xml:space="preserve">Quelle: </w:t>
      </w:r>
      <w:r>
        <w:t>https://mcp.opencaselaw.ch/entscheid/zh_obergericht_RT130177</w:t>
      </w:r>
    </w:p>
    <w:p>
      <w:r>
        <w:t>FR: ZH_OBERGERICHT RT130177 du 11 février 2014</w:t>
      </w:r>
    </w:p>
    <w:p>
      <w:r>
        <w:t>IT: ZH_OBERGERICHT RT130177 del 11 febbraio 2014</w:t>
      </w:r>
    </w:p>
    <w:p>
      <w:pPr>
        <w:pStyle w:val="Heading2"/>
      </w:pPr>
      <w:r>
        <w:t>Erwägungen</w:t>
      </w:r>
    </w:p>
    <w:p>
      <w:r>
        <w:rPr>
          <w:b/>
        </w:rPr>
        <w:t>E. 1</w:t>
      </w:r>
    </w:p>
    <w:p>
      <w:r>
        <w:t>Mit Urteil vom 20. September 2013 (Urk. 23) wurde der Gesuchstellerin und Beschwerdegegnerin (fortan: Gesuchstellerin) in der Betreibung Nr. … des Betreibungsamts C._____ (Zahlungsbefehl vom 9. August 2013) definitive Rechtsöffnung erteilt für Fr. 12'600.– nebst Zins zu 5 % seit 7. August 2013 und die Betreibungskosten sowie für Kosten und Entschädigung gemäss Dispositiv- Ziffern 3 bis 6 des vorinstanzlichen Entscheids (Dispositiv-Ziffer 2). Im gleichen Dispositiv wurde zuvor verfügt, dass das Gesuch um Durchführung einer mündli- chen, öffentlichen Verhandlung abgewiesen werde (Dispositiv-Ziffer 1). Die Kos- ten- und Entschädigungsfolgen wurden zu Lasten des Gesuchsgegners und Be- schwerdeführers (fortan: Gesuchsgegner) geregelt (Dispositiv-Ziffern 3 bis 6). Für den Verlauf des erstinstanzlichen Verfahrens kann auf die Ausführungen im Ent- scheid der Vorinstanz verwiesen werden (Urk. 23 S. 2). Gegen diesen Entscheid erhob der Gesuchsgegner am 7. Oktober 2013 fristgerecht (vgl. Urk. 21/1) Be- schwerde mit folgenden Anträgen (Urk. 22 S. 2): "1. Es sei das Urteil vom 20. September 2013, Geschäfts- Nr. EB130300, aufzuheben und zwar mit Ausnahme von Ziff. 7 im vollumfänglichen Umfang, d.h. Ziff. 1, 2, 3, 4 und 5 seien aufzu- heben und es sei das Rechtsbegehren der Beschwerdegegnerin, mit welchem sie definitive Rechtsöffnung bezüglich der Betrei- bung Nr. … des Betreibungsamtes C._____ (Zahlungsbefehl vom 9. August 2013) fordert, für den Betrag von Fr. 12'600.– nebst</w:t>
      </w:r>
    </w:p>
    <w:p>
      <w:r>
        <w:rPr>
          <w:b/>
        </w:rPr>
        <w:t>E. 5</w:t>
      </w:r>
    </w:p>
    <w:p>
      <w:r>
        <w:t>Juli 2005, Exel gegen Tschechische Republik, §§ 55, 57). Ob die Verhandlung über die (definitive) Rechtsöffnung – die Bewilligung zur Spezialexekution bzw. zum Eingriff in das Vermögen des Schuldners – vom Grundsatz der Öffentlichkeit ausgenommen werden kann, wurde höchstrichterlich noch nicht geklärt (BGer 5D_181/2011 vom 11. April 2012, E. 3.1.2). In der Lehre wird der Anspruch auf eine öffentliche Rechtsöffnungsverhandlung indes bejaht, wenn auch ohne ein- lässliche Begründung (BSK SchKG I-Staehelin, Art. 84 N 41a). Der eben zitierte Entscheid des Bundesgerichts wurde auch in BlSchK 2013 S. 50 ff. publiziert. Hansjörg Peter hält dort am Schluss fest, vor allem im Rechtsöffnungsverfahren sei die Verhandlung dem schriftlichen Verfahren vorzuziehen (gl. M. Stücheli, Die Rechtsöffnung, Diss. Zürich 2000, S. 129). Es gebe keinen Grund, dass diese nicht öffentlich sein soll. In aller Regel könnten sich namentlich unerfahrene Schuldner gegenüber dem Richter freier und angemessener äussern, als wenn man sie zwinge, ein mehr oder weniger verständliches Rechtsöffnungsbegehren schriftlich zu beantworten (BlSchK 2013 S. 54; s. zum Ganzen auch: Morscher/ Christ, in: EuGRZ 2010, S. 273). 4.2.1. Zwar hat die Argumentation der Vorinstanz auf den ersten Blick etwas Bestechendes, trifft aber auf den zweiten Blick doch nicht ganz zu. Einwendungen können nicht nur materieller (Tilgung, Stundung, Verjährung), sondern auch for- meller Natur – Rechtmässigkeit des Betreibungs- und Rechtsöffnungsverfahrens – sein, auch wenn dies weder in Art. 81 Abs. 1 SchKG noch in Art. 341 Abs. 3 ZPO ausdrücklich gesagt wird (BSK SchKG I-Staehelin, Art. 81 N 2). Formelle Einwendungen unterliegen keiner inhaltlichen Beschränkung und nicht dem Ur- kundenbeweis (vgl. zum Ganzen BSK ZPO-Dorese, Art. 341 N 21 ff.). Deshalb kann nicht gesagt werden, die Prüfungszuständigkeit des Rechtsöffnungsrichters beschränke sich auf die Tauglichkeit der präsentierten Urkunden.</w:t>
      </w:r>
    </w:p>
    <w:p>
      <w:r>
        <w:t>- 8 - 4.2.2. Im vorliegenden Rechtsöffnungsverfahren gilt es zudem keine hoch- technische, komplexe oder aktenreiche Materie zu beurteilen. Damit sind keine aussergewöhnlichen Umstände ersichtlich, die einen Verzicht auf eine öffentliche Verhandlung – trotz des ausdrücklichen Antrags des Gesuchsgegners auf eine solche – zu rechtfertigen vermöchten. Auch die in Art. 6 Abs. 1 EMRK erwähnte Einschränkung des Rechts auf eine öffentliche Verhandlung im Interesse der Rechtspflege unter besonderen Umständen kommt vorliegend nicht zum Tragen. Gemeint sind Fälle wie der Ausschluss des Publikums im Interesse einer wahr- heitsgemässen Zeugenaussage, wenn die Interessen einer Partei oder von Drit- ten offensichtlich verletzt würden. Reine Organisationsfragen oder die Überlas- tung der Gerichte stellen keine Ausnahmetatbestände im Interesse der Rechts- pflege dar (Hangartner, in: AJP 3/96, S. 340 bis 342 mit weiteren Hinweisen). Im Übrigen sind keine Anhaltspunkte für einen rechtsmissbräuchlich gestellten An- trag auf öffentliche Verhandlung ersichtlich (Hangartner, a.a.O., S. 339). 4.2.3. Damit verletzte die Vorinstanz vorliegend das Recht des Gesuchs- gegners auf eine öffentliche Verhandlung. 4.3. Nach der Rechtsprechung kann eine Gehörsverletzung geheilt werden, wenn die betroffene Person die Möglichkeit hat, sich vor einer Rechtsmittelinstanz zu äussern, welche Sachverhalt wie Rechtslage frei überprüfen kann (statt vieler BGE 133 I 201 E. 2.2, 132 V 387 E. 5.1). Dies ist im Beschwerdeverfahren nicht der Fall, denn in diesem können einerseits nur offensichtlich unrichtige Sachver- haltsfeststellungen gerügt werden (Art. 320 lit. b ZPO) und besteht andererseits ein strenges Novenverbot (Art. 326 ZPO). Eine Heilung der Nichtdurchführung ei- ner öffentlichen Verhandlung im vorliegenden Beschwerdeverfahren ist damit in Analogie zur Rechtsprechung bei einer Gehörsverletzung ausgeschlossen. 4.4. Zusammenfassend ist der angefochtene Entscheid in Gutheissung der Beschwerde aufzuheben und die Sache zur Durchführung einer öffentlichen Ge- richtsverhandlung und zu neuem Entscheid an die Vorinstanz zurückzuweisen (Art. 327 Abs. 3 lit. a ZPO). Bei dieser Sachlage braucht auf die übrigen Be- schwerdevorbringen des Gesuchsgegners nicht mehr eingegangen zu werden.</w:t>
      </w:r>
    </w:p>
    <w:p>
      <w:r>
        <w:t>- 9 - III. Für das Beschwerdeverfahren beträgt der Streitwert Fr. 12'600.–. Die Spruchge- bühr für das Beschwerdeverfahren ist in Anwendung von Art. 48 in Verbindung mit Art. 61 Abs. 1 GebV SchKG (BGE 139 III 195 E. 4, ZR 110 Nr. 28) auf Fr. 750.– festzusetzen. Die Gerichtskosten für das Beschwerdeverfahren sind ausgangsgemäss der Gesuchstellerin aufzuerlegen (Art. 106 Abs. 1 ZPO). Die Gesuchstellerin ist überdies antragsgemäss zur Bezahlung einer Parteientschädi- gung zu verpflichten, welche auf Fr. 810.– (Fr. 750.– zzgl. 8 % MwSt.; § 4 Abs. 1 i.V.m. § 9 und § 13 AnwGebV) festzusetzen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