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RT130167 vom 2. Oktober 2013</w:t>
      </w:r>
    </w:p>
    <w:p>
      <w:r>
        <w:t>ZH Obergericht, 2013-10-02, DE</w:t>
      </w:r>
    </w:p>
    <w:p>
      <w:r>
        <w:rPr>
          <w:b/>
        </w:rPr>
        <w:t xml:space="preserve">Quelle: </w:t>
      </w:r>
      <w:r>
        <w:t>https://mcp.opencaselaw.ch/entscheid/zh_obergericht_RT130167</w:t>
      </w:r>
    </w:p>
    <w:p>
      <w:r>
        <w:t>FR: ZH_OBERGERICHT RT130167 du 2 octobre 2013</w:t>
      </w:r>
    </w:p>
    <w:p>
      <w:r>
        <w:t>IT: ZH_OBERGERICHT RT130167 del 2 ottobre 2013</w:t>
      </w:r>
    </w:p>
    <w:p>
      <w:pPr>
        <w:pStyle w:val="Heading2"/>
      </w:pPr>
      <w:r>
        <w:t>Erwägungen</w:t>
      </w:r>
    </w:p>
    <w:p>
      <w:r>
        <w:rPr>
          <w:b/>
        </w:rPr>
        <w:t>E. 1</w:t>
      </w:r>
    </w:p>
    <w:p>
      <w:r>
        <w:t>a) Am 17. Juli 2013 hatte der Kläger beim Bezirksgericht Uster (Vor- instanz) ein Rechtsöffnungsgesuch für Fr. 470.-- nebst 5 % Zins seit 14. März 2013 eingereicht (Vi-Urk. 1). Mit Verfügung vom 6. August 2013 setzte die Vor- instanz dem Kläger eine Frist von 14 Tagen zur Leistung eines Gerichtskostenvorschusses von Fr. 150.-- an (Vi-Urk. 4 = Urk. 2). b) Hiergegen hat die Beklagte mit Eingabe vom 13. September 2013, zur Post gegeben am 15. September 2013, Beschwerde erhoben (Urk. 1). c) Da die Beklagte durch die angefochtene Verfügung keinen Nachteil erleidet, wurde ihr mit Schreiben vom 17. September 2013 Gelegenheit gegeben, auf die Durchführung eines Beschwerdeverfahrens zu verzichten (Urk. 3). Sie hat dieses Schreiben nicht abgeholt (Urk. 4). Dementsprechend ist das Beschwerdeverfahren durchzuführen. d) Die vorinstanzlichen Akten wurden beigezogen, jedoch, da sie von der Erstinstanz wieder benötigt wurden, kopiert und sogleich wieder retourniert. Da sich die Beschwerde als offensichtlich unzulässig erweist, kann auf die Einholung einer Beschwerdeantwort verzichtet werden (Art. 322 Abs. 1 ZPO).</w:t>
      </w:r>
    </w:p>
    <w:p>
      <w:r>
        <w:rPr>
          <w:b/>
        </w:rPr>
        <w:t>E. 2</w:t>
      </w:r>
    </w:p>
    <w:p>
      <w:r>
        <w:t>Durch die angefochtene Verfügung wurde, wie erwähnt, einzig der Kläger zur Leistung eines Gerichtskostenvorschusses verpflichtet (Urk. 2). Die Beklagte dagegen wurde durch diese Verfügung zu nichts verpflichtet und hat damit durch diese keinen Nachteil (über das Rechtsöffnungsbegehren wurde noch gar nicht entschieden). Daher ist ein rechtlich schützenswertes Interesse der Beklagten an einer Beschwerde gegen die Verfügung vom 6. August 2013 zu verneinen. Auf ihre Beschwerde kann nicht eingetreten werden (vgl. Art. 59 ZPO).</w:t>
      </w:r>
    </w:p>
    <w:p>
      <w:r>
        <w:rPr>
          <w:b/>
        </w:rPr>
        <w:t>E. 3</w:t>
      </w:r>
    </w:p>
    <w:p>
      <w:r>
        <w:t>Die angefochtene Verfügung wurde der Beklagten am 31. August 2013 zugestellt (Vi-Urk. 5). Die zehntägige Frist zur Beschwerdeerhebung endete damit am 10. September 2013 (Art. 321 Abs. 2 i.V.m. Art. 251 lit. a ZPO, Art. 142 ZPO), weshalb die am 15. September 2013 zur Post gegebene Beschwerde der</w:t>
      </w:r>
    </w:p>
    <w:p>
      <w:r>
        <w:t>- 3 - Beklagten verspätet ist. Da auf die Beschwerde aber so oder so nicht einzutreten ist (oben Erwägung 2), erübrigen sich Weiterungen hierzu.</w:t>
      </w:r>
    </w:p>
    <w:p>
      <w:r>
        <w:rPr>
          <w:b/>
        </w:rPr>
        <w:t>E. 4</w:t>
      </w:r>
    </w:p>
    <w:p>
      <w:r>
        <w:t>a) Für das Beschwerdeverfahren beträgt der Streitwert Fr. 150.-- (Höhe des angefochtenen Gerichtskostenvorschusses). Die zweitinstanzliche Ent- scheidgebühr ist in Anwendung von Art. 48 i.V.m. Art. 61 Abs. 1 GebV SchKG auf Fr. 50.– festzusetzen. b) Die Gerichtskosten des Beschwerdeverfahrens sind ausgangsgemäss der Beklagten aufzuerlegen (Art. 106 Abs. 1 ZPO). c) Für das Beschwerdeverfahren hat die Beklagte zufolge ihres Unterliegens keinen Anspruch auf eine Entschädigung; dem Kläger erwuchs kein erheblicher Aufwand. Demgemäss sind für das Beschwerdeverfahren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