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RT130166 vom 10. Oktober 2013</w:t>
      </w:r>
    </w:p>
    <w:p>
      <w:r>
        <w:t>ZH Obergericht, 2013-10-10, DE</w:t>
      </w:r>
    </w:p>
    <w:p>
      <w:r>
        <w:rPr>
          <w:b/>
        </w:rPr>
        <w:t xml:space="preserve">Quelle: </w:t>
      </w:r>
      <w:r>
        <w:t>https://mcp.opencaselaw.ch/entscheid/zh_obergericht_RT130166</w:t>
      </w:r>
    </w:p>
    <w:p>
      <w:r>
        <w:t>FR: ZH_OBERGERICHT RT130166 du 10 octobre 2013</w:t>
      </w:r>
    </w:p>
    <w:p>
      <w:r>
        <w:t>IT: ZH_OBERGERICHT RT130166 del 10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3. September 2013 wies die Vorinstanz das Rechtsöff- nungsbegehren der Klägerin und Beschwerdeführerin (fortan Klägerin) in der Be- treibung Nr. … des Betreibungsamtes C._____ (Zahlungsbefehl vom 2. April 2013) ab (Urk. 8 S. 3 Dispositivziffer 1).</w:t>
      </w:r>
    </w:p>
    <w:p>
      <w:r>
        <w:rPr>
          <w:b/>
        </w:rPr>
        <w:t>E. 2</w:t>
      </w:r>
    </w:p>
    <w:p>
      <w:r>
        <w:t>Mit fristgerechter Eingabe vom 25. September 2013 erhob die Klägerin Beschwerde gegen das obgenannte Urteil mit dem Antrag, das angefochtene Ur- teil "sei vollumfänglich abzuweisen" unter Kosten- und Entschädigungsfolge zu Lasten des Beklagten und Beschwerdegegners (fortan Beklagter; Urk. 7).</w:t>
      </w:r>
    </w:p>
    <w:p>
      <w:r>
        <w:rPr>
          <w:b/>
        </w:rPr>
        <w:t>E. 3</w:t>
      </w:r>
    </w:p>
    <w:p>
      <w:r>
        <w:t>Die Klägerin bringt in ihrer Beschwerdeschrift vor, sie könne die Behaup- tung der Vorinstanz in der Erwägung 2.3 des angefochtenen Urteils widerlegen, dass der Übergang der Forderung der D._____ AG auf die E._____ AG nicht be- legt werden könne (Urk. 7 S. 2 Ziff. 2.1). Sie reichte dazu die Abtretungserklärung der D._____ AG an die E._____ AG vom 17. September 2013 ein (Urk. 9).</w:t>
      </w:r>
    </w:p>
    <w:p>
      <w:r>
        <w:rPr>
          <w:b/>
        </w:rPr>
        <w:t>E. 4</w:t>
      </w:r>
    </w:p>
    <w:p>
      <w:r>
        <w:t>a) Gemäss Art. 326 Abs. 1 ZPO sind im Beschwerdeverfahren neue An- träge, neue Tatsachenbehauptungen und neue Beweismittel ausgeschlossen. Dies wird mit dem Charakter der Beschwerde begründet, die sich als ausseror- dentliches Rechtsmittel auf die Rechtskontrolle beschränkt und nicht das erstin- stanzliche Verfahren fortsetzen soll. Das Novenverbot ist umfassend und gilt so- wohl für echte wie auch für unechte Noven (Freiburghaus/Afheldt, in: Sutter- Somm/Hasenböhler/Leuenberger, Kommentar zur Schweizerischen Zivilprozess- ordnung (ZPO), 2. Aufl., Zürich/Basel/Genf 2013, Art. 326 N 3 f.). Echte Noven sind neue Tatsachen und Beweismittel, die erst nach Abschluss des erstinstanzli- chen Schriftenwechsels entstanden oder gefunden worden sind. Unechte Noven sind neue Tatsachen und Beweismittel, die bereits vor erster Instanz hätten vor- gebracht werden können (vgl. Leuenberger, in: Sutter-Somm/Hasenböhler/ Leuenberger, a.a.O., Art. 229 N 5 und 8). b) Die im Beschwerdeverfahren von der Klägerin angerufene Urkunde vom 17. September 2013 (Urk. 9) war im erstinstanzlichen Rechtsöffnungsverfahren</w:t>
      </w:r>
    </w:p>
    <w:p>
      <w:r>
        <w:t>- 3 - nicht eingereicht worden. Aufgrund von Art. 326 ZPO kann sie im Beschwerdever- fahren nicht nachgereicht und berücksichtigt werden. Damit erweist sich die Beschwerde als offensichtlich unbegründet. Es kann daher davon abgesehen werden, eine Beschwerdeantwort des Beklagten oder ei- ne Stellungnahme der Vorinstanz einzuholen (Art. 322 ZPO, Art. 324 ZPO). Die Beschwerde ist abzuweisen.</w:t>
      </w:r>
    </w:p>
    <w:p>
      <w:r>
        <w:rPr>
          <w:b/>
        </w:rPr>
        <w:t>E. 5</w:t>
      </w:r>
    </w:p>
    <w:p>
      <w:r>
        <w:t>a) Die zweitinstanzliche Spruchgebühr ist ausgangsgemäss der Klägerin aufzuerlegen (Art. 106 Abs. 1 ZPO). Für deren Bemessung gelangt gemäss Pra- xis der Kammer die Gebührenverordnung zum Bundesgesetz über Schuldbetrei- bung und Konkurs (GebV SchKG; SR 281.35) zur Anwendung (Art. 16 SchKG; ZR 110 (2011) Nr. 28). Die Spruchgebühr ist gestützt auf Art. 48 GebV SchKG auf Fr. 300.– festzusetzen. b) Mangels wesentlicher Umtriebe ist dem Beklagten für das Beschwerde- 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