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RT130140 vom 27. August 2013</w:t>
      </w:r>
    </w:p>
    <w:p>
      <w:r>
        <w:t>ZH Obergericht, 2013-08-27, DE</w:t>
      </w:r>
    </w:p>
    <w:p>
      <w:r>
        <w:rPr>
          <w:b/>
        </w:rPr>
        <w:t xml:space="preserve">Quelle: </w:t>
      </w:r>
      <w:r>
        <w:t>https://mcp.opencaselaw.ch/entscheid/zh_obergericht_RT130140</w:t>
      </w:r>
    </w:p>
    <w:p>
      <w:r>
        <w:t>FR: ZH_OBERGERICHT RT130140 du 27 août 2013</w:t>
      </w:r>
    </w:p>
    <w:p>
      <w:r>
        <w:t>IT: ZH_OBERGERICHT RT130140 del 27 agosto 2013</w:t>
      </w:r>
    </w:p>
    <w:p>
      <w:pPr>
        <w:pStyle w:val="Heading2"/>
      </w:pPr>
      <w:r>
        <w:t>Erwägungen</w:t>
      </w:r>
    </w:p>
    <w:p>
      <w:r>
        <w:rPr>
          <w:b/>
        </w:rPr>
        <w:t>E. 1</w:t>
      </w:r>
    </w:p>
    <w:p>
      <w:r>
        <w:t>Der Kläger reduziert seine Forderung auf Fr. 23'000.– und der Beklag- te anerkennt sie in diesem Umfang.</w:t>
      </w:r>
    </w:p>
    <w:p>
      <w:r>
        <w:rPr>
          <w:b/>
        </w:rPr>
        <w:t>E. 2</w:t>
      </w:r>
    </w:p>
    <w:p>
      <w:r>
        <w:t>Der Beklagte hat sein Rechtsmittel als Einsprache bezeichnet. Zulässi- ges Rechtsmittel gegen einen die Rechtsöffnung erteilenden Entscheid ist – wie</w:t>
      </w:r>
    </w:p>
    <w:p>
      <w:r>
        <w:t>- 3 - von der Vorinstanz korrekt belehrt (Urk. 31 Dispositiv Ziff. 6) – die Beschwerde (Art. 319 lit. a in Verbindung mit Art. 309 lit. b Ziff. 3 ZPO). Die Rechtsmittelschrift des Beklagten ist daher als Beschwerde entgegenzunehmen.</w:t>
      </w:r>
    </w:p>
    <w:p>
      <w:r>
        <w:rPr>
          <w:b/>
        </w:rPr>
        <w:t>E. 3</w:t>
      </w:r>
    </w:p>
    <w:p>
      <w:r>
        <w:t>a) Mit der Beschwerde können unrichtige Rechtsanwendung und offensichtlich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b) Die Vorinstanz hat zur umstrittenen Rechtzeitigkeit der Zahlung erwo- gen, Geldschulden seien mangels anders lautender Vereinbarung grundsätzlich Bringschulden. Eine Ausnahme bestehe bei einer Zahlung per Bankcheck, da diese eine Holschuld darstelle; hier müsse der Gläubiger den Check beim Haupt- schuldner (der Bank) vorweisen, um die Zahlung zu erhalten. Es könne jedoch of- fen bleiben, ob vorliegend die Checkzahlung rechtzeitig erfolgt sei, denn es stehe fest, dass mit dem Bankcheck nicht die vereinbarten Fr. 18'000.--, sondern ledig- lich Fr. 15'520.20 bezahlt worden seien. Der Beklagte trage das Risiko dafür, dass der angewiesene Betrag in Euro nicht 18'000.-- Schweizerfranken ausma- che. Im Zeitpunkt des Ablaufs der Zahlungsfrist am 28. Februar 2013 seien damit in jedem Fall noch Fr. 2'479.80 ausstehend gewesen. Dies führe dazu, dass der Beklagte gestützt auf den Vergleich nicht bloss Fr. 18'000.--, sondern Fr. 23'000.-- schulde (Urk. 31 S. 4 f.). c) Der Beklagte macht in seiner Beschwerde einzig geltend, die Zahlung sei genau zum vereinbarten Termin erfolgt; dass der Kläger den Check seiner Bank absichtlich zu spät abgegeben habe, könne nicht ihm angelastet werden (Urk. 31 S. 1). d) Gemäss dem von den Parteien geschlossenen Vergleich reduzierte sich der zu bezahlende Betrag nur dann auf Fr. 18'000.--, wenn diese Summe</w:t>
      </w:r>
    </w:p>
    <w:p>
      <w:r>
        <w:t>- 4 - (vollständig) bis am 28. Februar 2013 bezahlt wird (Urk. 13/1). Dass die Zusen- dung des Bankchecks von EUR 13'000.-- innerhalb dieser Frist erfolgte, ist nicht umstritten. Wann dieser eingelöst wurde, ist sodann nicht relevant, denn es steht fest, dass mit diesem Check nicht Fr. 18'000.--, sondern eben nur Fr. 15'520.20 bezahlt wurden. Dabei ist die ungenügende Zahlung nicht auf einen schwanken- den Wechselkurs zurückzuführen, denn der Wechselkurs Euro zu Franken be- wegte sich seit Anfang 2012 in einer Bandbreite von ca. 1.20 bis ca. 1.25 und auch beim Höchststand von 1.25 hätten EUR 13'000.-- nur Fr. 16'250.-- entspro- chen. Mit der ungenügenden Zahlung per Check war somit die Bedingung für die Reduktion der Forderung von Fr. 23'000.-- auf Fr. 18'000.-- nicht erfüllt, weshalb der Kläger vom Beklagten gestützt auf den Vergleich vom 26. Oktober 2012 zu Recht Fr. 23'000.-- fordern kann. Abzüglich den vom Beklagten geleisteten Zah- lungen von Fr. 15'520.20 und Fr. 2'479.80 (d.h. zusammen Fr. 18'000.--) beträgt die offene Forderung damit noch Fr. 5'000.--. Andere Gründe, welche der Rechts- öffnung entgegenstehen könnten, wurden vom Beklagten nicht genannt. Für den Betrag von Fr. 5'000.-- war somit die Rechtsöffnung zu erteilen. e) Nach dem Gesagten ist die Beschwerde des Beklagten als unbegrün- det abzuweisen.</w:t>
      </w:r>
    </w:p>
    <w:p>
      <w:r>
        <w:rPr>
          <w:b/>
        </w:rPr>
        <w:t>E. 4</w:t>
      </w:r>
    </w:p>
    <w:p>
      <w:r>
        <w:t>a) Für das Beschwerdeverfahren beträgt der Streitwert Fr. 5'000.--. Die zweitinstanzliche Entscheidgebühr ist in Anwendung von Art. 48 i.V.m. Art. 61 Abs. 1 GebV SchKG (vgl. ZR 110/2011 Nr. 28) auf Fr. 250.– festzusetzen. b) Die Gerichtskosten des Beschwerdeverfahrens sind ausgangsgemäss dem unterliegenden Beklagten aufzuerlegen (Art. 106 Abs. 1 ZPO). c) Für das Beschwerdeverfahren sind keine Parteientschädigungen zuzu- sprechen, dem Kläger mangels relevanter Umtriebe, dem Beklagten schon man- gels eines entsprechenden Antrags und weil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