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RT130137 vom 16. August 2013</w:t>
      </w:r>
    </w:p>
    <w:p>
      <w:r>
        <w:t>ZH Obergericht, 2013-08-16, DE</w:t>
      </w:r>
    </w:p>
    <w:p>
      <w:r>
        <w:rPr>
          <w:b/>
        </w:rPr>
        <w:t xml:space="preserve">Quelle: </w:t>
      </w:r>
      <w:r>
        <w:t>https://mcp.opencaselaw.ch/entscheid/zh_obergericht_RT130137</w:t>
      </w:r>
    </w:p>
    <w:p>
      <w:r>
        <w:t>FR: ZH_OBERGERICHT RT130137 du 16 août 2013</w:t>
      </w:r>
    </w:p>
    <w:p>
      <w:r>
        <w:t>IT: ZH_OBERGERICHT RT130137 del 16 agosto 2013</w:t>
      </w:r>
    </w:p>
    <w:p>
      <w:pPr>
        <w:pStyle w:val="Heading2"/>
      </w:pPr>
      <w:r>
        <w:t>Erwägungen</w:t>
      </w:r>
    </w:p>
    <w:p>
      <w:r>
        <w:rPr>
          <w:b/>
        </w:rPr>
        <w:t>E. 1</w:t>
      </w:r>
    </w:p>
    <w:p>
      <w:r>
        <w:t>a) Mit Eingabe vom 29. Mai 2013 stellte die Klägerin und Beschwerde- gegnerin (fortan Klägerin) das folgende Rechtsbegehren (Urk. 1 S. 2): " 1. In der Betreibung Nr. … des Betreibungsamtes C._____ sei ge- stützt auf Art. 82 SchKG provisorische Rechtsöffnung für Fr. 2'327.25 zu erteilen.</w:t>
      </w:r>
    </w:p>
    <w:p>
      <w:r>
        <w:rPr>
          <w:b/>
        </w:rPr>
        <w:t>E. 2</w:t>
      </w:r>
    </w:p>
    <w:p>
      <w:r>
        <w:t>Mit fristgerechter Eingabe vom 8. August 2013 erhob der Beklagte Be- schwerde mit dem Antrag, es sei das Urteil wegen Verjährung – die Forderung datiere von 1977 – und unter Kostenfolge der Klägerin zurückzuweisen (Urk. 11).</w:t>
      </w:r>
    </w:p>
    <w:p>
      <w:r>
        <w:t>- 3 -</w:t>
      </w:r>
    </w:p>
    <w:p>
      <w:r>
        <w:rPr>
          <w:b/>
        </w:rPr>
        <w:t>E. 3</w:t>
      </w:r>
    </w:p>
    <w:p>
      <w:r>
        <w:t>Mit der Beschwerde können unrichtige Rechtsanwendung und offensicht- lich unrichtige Feststellung des Sachverhalts geltend gemacht werden (Art. 320 ZPO).</w:t>
      </w:r>
    </w:p>
    <w:p>
      <w:r>
        <w:rPr>
          <w:b/>
        </w:rPr>
        <w:t>E. 4</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 gebracht werden können (vgl. Leuenberger, in: Sutter-Somm/Hasenböhler/ Leuenberger, a.a.O., Art. 229 N 5 und 8). b) Die Verjährung führt nicht zum Erlöschen der Forderung. Die Forderung bleibt vielmehr bestehen, sie ist jedoch nicht mehr durchsetzbar. Der Schuldner hat das Recht, die Leistung auf Dauer zu verweigern. Dieses ist im Wege einer Einrede geltend zu machen, das Gericht darf die Verjährung nicht von Amtes we- gen berücksichtigen (Art. 142 OR; Schwenzer, Schweizerisches Obligationen- recht Allgemeiner Teil, 6. Aufl., Bern 2012, N 85.01). Die Verjährungseinrede muss im Rahmen der zivilprozessualen Eventualmaxime während des Schriften- wechsels vor erster Instanz – unter den Voraussetzungen von Art. 229 ZPO auch erst zu Beginn der Hauptverhandlung – erhoben werden, ansonsten sie vom Richter wegen Verspätung unberücksichtigt bleiben darf (Däppen, in: Basler Kommentar Art. 1-529 OR, 5. Aufl., Basel 2011, Art. 142 N 4 m.w.H.). Dem Schuldner obliegt, den Eintritt der Verjährung durch Erheben der form- und frist- gerechten Einrede zu behaupten. Als Ausfluss von Art. 8 ZGB trägt sodann der Schuldner die Beweislast nicht nur für das Erheben der Verjährungseinrede, son- dern auch dafür, dass die eingeklagte Forderung verjährt ist, unter Nachweis der</w:t>
      </w:r>
    </w:p>
    <w:p>
      <w:r>
        <w:t>- 4 - Tatsachen, aus denen sich der von ihm behauptete Beginn des Fristenlaufes ergibt (Däppen, in: Basler Kommentar, a.a.O., Art. 142 N 11). c) Die vom Beklagten erst im Beschwerdeverfahren erhobene Verjährungs- einrede ist als verspätet zu betrachten und daher nicht mehr zu berücksichtigen; der Beklagte hätte sie vor erster Instanz erheben sollen. Damit erweist sich die Beschwerde als offensichtlich unbegründet. Es kann daher davon abgesehen werden, eine Beschwerdeantwort der Klägerin oder eine Stellungnahme der Vor- instanz einzuholen (Art. 322 ZPO, Art. 324 ZPO). Die Beschwerde ist abzuwei- sen.</w:t>
      </w:r>
    </w:p>
    <w:p>
      <w:r>
        <w:rPr>
          <w:b/>
        </w:rPr>
        <w:t>E. 5</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auf Fr. 300.– festzusetzen. b) Mangels wesentlicher Umtriebe ist der Klägerin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