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RT130114 vom 18. Juli 2013</w:t>
      </w:r>
    </w:p>
    <w:p>
      <w:r>
        <w:t>ZH Obergericht, 2013-07-18, DE</w:t>
      </w:r>
    </w:p>
    <w:p>
      <w:r>
        <w:rPr>
          <w:b/>
        </w:rPr>
        <w:t xml:space="preserve">Quelle: </w:t>
      </w:r>
      <w:r>
        <w:t>https://mcp.opencaselaw.ch/entscheid/zh_obergericht_RT130114</w:t>
      </w:r>
    </w:p>
    <w:p>
      <w:r>
        <w:t>FR: ZH_OBERGERICHT RT130114 du 18 juillet 2013</w:t>
      </w:r>
    </w:p>
    <w:p>
      <w:r>
        <w:t>IT: ZH_OBERGERICHT RT130114 del 18 luglio 2013</w:t>
      </w:r>
    </w:p>
    <w:p>
      <w:pPr>
        <w:pStyle w:val="Heading2"/>
      </w:pPr>
      <w:r>
        <w:t>Erwägungen</w:t>
      </w:r>
    </w:p>
    <w:p>
      <w:r>
        <w:rPr>
          <w:b/>
        </w:rPr>
        <w:t>E. 2</w:t>
      </w:r>
    </w:p>
    <w:p>
      <w:r>
        <w:t>Es sei die aufschiebende Wirkung zu erteilen.</w:t>
      </w:r>
    </w:p>
    <w:p>
      <w:r>
        <w:rPr>
          <w:b/>
        </w:rPr>
        <w:t>E. 2.1</w:t>
      </w:r>
    </w:p>
    <w:p>
      <w:r>
        <w:t>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Feststel- lung des Sachverhalts) der angefochtene Entscheid ihrer Ansicht nach leidet. Was nicht gerügt wird, hat grundsätzlich Bestand.</w:t>
      </w:r>
    </w:p>
    <w:p>
      <w:r>
        <w:rPr>
          <w:b/>
        </w:rPr>
        <w:t>E. 2.2</w:t>
      </w:r>
    </w:p>
    <w:p>
      <w:r>
        <w:t>Mit dem heutigen Endentscheid wird der - ohnehin unbegründete - pro- zessuale Antrag des Beklagten um Erteilung der aufschiebenden Wirkung gegen- standlos und ist dementsprechend abzuschreiben.</w:t>
      </w:r>
    </w:p>
    <w:p>
      <w:r>
        <w:rPr>
          <w:b/>
        </w:rPr>
        <w:t>E. 3</w:t>
      </w:r>
    </w:p>
    <w:p>
      <w:r>
        <w:t>Es sei mir die unentgeltliche Prozessführung und deren Vertre- tung zu gewähren.</w:t>
      </w:r>
    </w:p>
    <w:p>
      <w:r>
        <w:rPr>
          <w:b/>
        </w:rPr>
        <w:t>E. 3.1</w:t>
      </w:r>
    </w:p>
    <w:p>
      <w:r>
        <w:t>Der Beklagte macht im Wesentlichen geltend, die Vorinstanz habe die von ihm vorgebrachten Einwendungen in Bezug auf die "Tilgung durch Verrechnung" unrichtig festgestellt und demzufolge unrichtig angewendet. Er bringt erneut vor, durch die von der Staatsanwaltschaft verfügte rechtskräftige Kontosperre, welche teilweise auch die Verfahrenskosten beinhalte (vgl. Urk. 8), sei seine vorliegend in Betreibung gesetzte Schuld beglichen (Urk. 13 S. 2).</w:t>
      </w:r>
    </w:p>
    <w:p>
      <w:r>
        <w:rPr>
          <w:b/>
        </w:rPr>
        <w:t>E. 3.2</w:t>
      </w:r>
    </w:p>
    <w:p>
      <w:r>
        <w:t>Die Vorinstanz hält in ihrem Entscheid fest, der Beklagte habe in seinen Vorbringen nicht durch Urkunden bewiesen, dass die Schuld getilgt oder gestun- det worden, oder dass die Forderung verjährt sei. Die vom Beklagten vorgebrach- ten Einwendungen vermöchten die definitive Rechtsöffnung nicht zu verhindern. Ausserdem weist sie den Beklagten darauf hin, dass er gegen die Verfügung der Staatsanwaltschaft Zürich - Sihl vom 30. Juli 2012 betreffend Edition von Bankun- terlagen und Kontosperre hätte Beschwerde einreichen müssen (Urk. 14).</w:t>
      </w:r>
    </w:p>
    <w:p>
      <w:r>
        <w:rPr>
          <w:b/>
        </w:rPr>
        <w:t>E. 3.3</w:t>
      </w:r>
    </w:p>
    <w:p>
      <w:r>
        <w:t>Die Vorinstanz führt aus, dass die durch die Staatsanwaltschaft verfügte Kontosperre die Tilgung der vorliegend in Betreibung gesetzten Schuld nicht be- legt. Zwar wird diese Feststellung mit Blick auf die vom Beklagten vorgebrachten Argumente nur unzureichend begründet. Sie erweist sich jedoch als zutreffend.</w:t>
      </w:r>
    </w:p>
    <w:p>
      <w:r>
        <w:t>- 4 - Zum Einen ist völlig unklar, ob überhaupt und wenn ja, in welchem Betrag, Gelder gesperrt werden konnten. Der Beklagte behauptet zwar, der gesperrte Betrag übersteige ein Vielfaches von Fr. 3'800.–, substantiiert oder belegt dies jedoch nicht genauer. Indes könnte auch bei Feststehen eines - für die heute zur Diskus- sion stehende Forderung - ausreichenden Betrags keine Tilgung angenommen werden, da es sich hier lediglich um eine Beschlagnahmung, d.h. um ein "Einfrie- ren" gewisser Vermögenswerte für die Dauer des Verfahrens, handelt und noch nicht rechtskräftig darüber entschieden wurde, ob dieses Geld definitiv eingezo- gen oder dem Beklagten - beispielsweise im Falle eines Überschusses oder eines Freispruchs im Strafverfahren - wieder herausgegeben wird. Somit sind die vor- liegend in Betreibung gesetzten Forderungen noch nicht beglichen bzw. "kassiert" (Urk. 13 S. 2), weshalb diese Rüge des Beklagten schon aus diesem Grund nicht verfängt. Zum Anderen ist darauf hinzuweisen, dass die durch die Staatsanwalt- schaft verfügte Kontosperre lediglich mit Blick auf das offenbar gegen den Beklag- ten laufende Strafverfahren vorgenommen wurde, weshalb die Verfahrenskosten, welchem dem Beklagten im Eheschutzentscheid auferlegt worden sind, davon ohnehin nicht tangiert werden. Die Beschwerde ist somit abzuweisen.</w:t>
      </w:r>
    </w:p>
    <w:p>
      <w:r>
        <w:rPr>
          <w:b/>
        </w:rPr>
        <w:t>E. 4</w:t>
      </w:r>
    </w:p>
    <w:p>
      <w:r>
        <w:t>Alles unter Kosten- und Entschädigungsfolgen zulasten des Kan- ton Zürich." Ausserdem stellte der Beklagten mit Eingabe desselben Datums ein Gesuch um Bewilligung der unentgeltlichen Rechtspflege für das Beschwerdeverfahren (Urk. 16/2). 1.3. Da sich die Beschwerde sogleich als unbegründet erweist, erübrigt sich das Einholen einer Beschwerdeantwort. Aus demselben Grund kann offen gelassen werden, ob sich der Beschwerdeschrift ein zureichender Antrag in der Sache ent-</w:t>
      </w:r>
    </w:p>
    <w:p>
      <w:r>
        <w:t>- 3 - nehmen lässt, wie dies insbesondere in betreibungsrechtlichen Summarsachen zu verlangen ist (vgl. Beschluss vom 14.11.2012 in Geschäfts-Nr. RT120148).</w:t>
      </w:r>
    </w:p>
    <w:p>
      <w:r>
        <w:rPr>
          <w:b/>
        </w:rPr>
        <w:t>E. 4.1</w:t>
      </w:r>
    </w:p>
    <w:p>
      <w:r>
        <w:t>Nach dem Gesagten wird deutlich, dass die Beschwerde des Beklagten aussichtslos ist, weshalb sein Gesuch um Gewährung der unentgeltlichen Pro- zessführung gestützt auf Art. 117 lit. b ZPO abzuweisen ist.</w:t>
      </w:r>
    </w:p>
    <w:p>
      <w:r>
        <w:rPr>
          <w:b/>
        </w:rPr>
        <w:t>E. 4.2</w:t>
      </w:r>
    </w:p>
    <w:p>
      <w:r>
        <w:t>Ausgangsgemäss sind die Verfahrenskosten in Anwendung von Art. 48 GebV SchKG auf Fr. 300.– festzusetzen und gestützt auf Art. 106 Abs. 1 ZPO dem Beklagten aufzuerlegen. Dem Kläger ist mangels wesentlicher Umtriebe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