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RT130098 vom 18. Juni 2013</w:t>
      </w:r>
    </w:p>
    <w:p>
      <w:r>
        <w:t>ZH Obergericht, 2013-06-18, DE</w:t>
      </w:r>
    </w:p>
    <w:p>
      <w:r>
        <w:rPr>
          <w:b/>
        </w:rPr>
        <w:t xml:space="preserve">Quelle: </w:t>
      </w:r>
      <w:r>
        <w:t>https://mcp.opencaselaw.ch/entscheid/zh_obergericht_RT130098</w:t>
      </w:r>
    </w:p>
    <w:p>
      <w:r>
        <w:t>FR: ZH_OBERGERICHT RT130098 du 18 juin 2013</w:t>
      </w:r>
    </w:p>
    <w:p>
      <w:r>
        <w:t>IT: ZH_OBERGERICHT RT130098 del 18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4. März 2013 hatte der Gesuchsteller und Beschwerde- gegner (fortan Gesuchsteller) vor Vorinstanz gestützt auf Entscheide der Bezirks- gerichte Hinwil und Uster ein Begehren um definitive Rechtsöffnung für Fr. 5'739.– sowie Zahlungsbefehlskosten in der Betreibung Nr. … des Betrei- bungsamtes B._____ (Zahlungsbefehl vom 25. Juni 2012) gestellt. Anlässlich der Verhandlung vom 24. April 2013 zog die Beklagte ihren gegen die Betreibung er- hobenen Rechtsvorschlag zurück, woraufhin die Vorinstanz die definitive Rechts- öffnung zufolge Klageanerkennung erteilte (Urk. 2 S. 2).</w:t>
      </w:r>
    </w:p>
    <w:p>
      <w:r>
        <w:rPr>
          <w:b/>
        </w:rPr>
        <w:t>E. 2</w:t>
      </w:r>
    </w:p>
    <w:p>
      <w:r>
        <w:t>Hiergegen erhob die Gesuchsgegnerin und Beschwerdeführerin (fortan Ge- suchsgegnerin) innert der ihr durch die Vorinstanz mitgeteilten Frist von 10 Tagen Beschwerde (vgl. Urk. 13 und 11).</w:t>
      </w:r>
    </w:p>
    <w:p>
      <w:r>
        <w:rPr>
          <w:b/>
        </w:rPr>
        <w:t>E. 3</w:t>
      </w:r>
    </w:p>
    <w:p>
      <w:r>
        <w:t>Wie im angefochtenen Entscheid bereits korrekt festgehalten wurde, gilt der Rückzug des Rechtsvorschlags gegenüber dem Rechtsöffnungsrichter als vorbe- haltlose Anerkennung des Rechtsöffnungsbegehrens (vgl. Urk. 13 S. 2) und somit als Klageanerkennung im Sinne von Art. 241 ZPO. Die Frage, welches Rechtsmit- tel zulässig ist, wenn ein Verfahren nach einer Klageanerkennung, einem Klage- rückzug oder einem Vergleichsschluss erledigt wurde, harrte unter neuem Pro- zessrecht lange einer höchstrichterlichen Entscheidung. Es stand einzig fest, dass die Erklärung der Partei an sich nicht Gegenstand einer Berufung oder einer Be- schwerde sein konnte; diesbezüglich muss die Revision verlangt werden (Art. 328 Abs. 1 lit. c ZPO). Im Übrigen gingen die Meinungen auseinander. Das Oberge- richt des Kantons Zürich vertrat bislang die Auffassung, dass die Revision nur ge- rade die "Dispositionsakte" umfasse, also den Vergleichsschluss oder die Erklä- rung des Klagerückzugs oder der Klageanerkennung an sich. Was das prozessu- al für Folgen habe und welche, gehe darüber hinaus. Gehe die Rüge auf die Erle- digung an sich (z.B. wegen fehlender oder mangelhafter Parteierklärung, Verlet- zung der Offizialmaxime), handle es sich nicht um eine Frage der Revision, son- dern es müsse ein Rechtsmittel an die obere Instanz zur Verfügung stehen (ZR 110 Nr. 34; OGer ZH RU120014 vom 30. März 2012). In einem Entscheid vom</w:t>
      </w:r>
    </w:p>
    <w:p>
      <w:r>
        <w:t>- 3 - 22. Februar 2013 hielt das Bundesgericht nun unter Hinweis auf die herrschende Meinung fest, dass es sich bei der Abschreibung des Verfahrens nach Art. 241 Abs. 3 ZPO um einen rein deklaratorischen Akt handle, weil bereits der Vergleich als solcher den Prozess unmittelbar beende. Gegen einen Abschreibungsbe- schluss als solchen stehe kein Rechtsmittel zur Verfügung. In Bezug auf materiel- le oder prozessuale Mängel des Vergleichs sei die Revision primäres und aus- schliessliches Rechtsmittel (Urteil 4A_605/2012 E. 1.2 und 1.3, zur Publikation vorgesehen). Diese Rechtsprechung ist entsprechend auch auf die Klageaner- kennung anzuwenden. Aus diesem Grund steht gegen den vorinstanzlichen Ent- scheid lediglich die Revision als Rechtsmittel zur Verfügung, weshalb auf die Be- schwerde der Gesuchsgegnerin nicht einzutreten ist. Die Rechtsmittelbelehrung der Vorinstanz, wonach gegen ihren Entscheid das Rechtsmittel der Beschwerde gegeben sei, ist demnach falsch.</w:t>
      </w:r>
    </w:p>
    <w:p>
      <w:r>
        <w:rPr>
          <w:b/>
        </w:rPr>
        <w:t>E. 4</w:t>
      </w:r>
    </w:p>
    <w:p>
      <w:r>
        <w:t>Es rechtfertigt sich, keine Kosten für das Beschwerdeverfahren zu erheben, da es unbillig wäre, wenn der Gesuchsgegnerin aus einer falschen Rechtsmittel- belehrung der Vorinstanz Kosten entstehen würden. Dem Gesuchsteller ist man- gels relevanten Aufwands im Beschwerdeverfahren keine Parteientschädigung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