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RT130097 vom 19. Juni 2013</w:t>
      </w:r>
    </w:p>
    <w:p>
      <w:r>
        <w:t>ZH Obergericht, 2013-06-19, DE</w:t>
      </w:r>
    </w:p>
    <w:p>
      <w:r>
        <w:rPr>
          <w:b/>
        </w:rPr>
        <w:t xml:space="preserve">Quelle: </w:t>
      </w:r>
      <w:r>
        <w:t>https://mcp.opencaselaw.ch/entscheid/zh_obergericht_RT130097</w:t>
      </w:r>
    </w:p>
    <w:p>
      <w:r>
        <w:t>FR: ZH_OBERGERICHT RT130097 du 19 juin 2013</w:t>
      </w:r>
    </w:p>
    <w:p>
      <w:r>
        <w:t>IT: ZH_OBERGERICHT RT130097 del 19 giugno 2013</w:t>
      </w:r>
    </w:p>
    <w:p>
      <w:pPr>
        <w:pStyle w:val="Heading2"/>
      </w:pPr>
      <w:r>
        <w:t>Erwägungen</w:t>
      </w:r>
    </w:p>
    <w:p>
      <w:r>
        <w:rPr>
          <w:b/>
        </w:rPr>
        <w:t>E. 1</w:t>
      </w:r>
    </w:p>
    <w:p>
      <w:r>
        <w:t>Prozessgeschichte</w:t>
      </w:r>
    </w:p>
    <w:p>
      <w:r>
        <w:rPr>
          <w:b/>
        </w:rPr>
        <w:t>E. 1.1</w:t>
      </w:r>
    </w:p>
    <w:p>
      <w:r>
        <w:t>Mit Eingabe vom 7. Mai 2013 (Urk. 1) leitete die Gesuchstellerin und Be- schwerdegegnerin (fortan Gesuchstellerin) vor Vorinstanz ein Rechtsöffnungsver- fahren gegen den Gesuchsgegner und Beschwerdeführer (fortan Gesuchsgegner) ein. Der Gesuchsgegner hatte gegen die von der Gesuchstellerin eingeleitete Be- treibung mit der Begründung Rechtsvorschlag erhoben, er sei nicht zu neuem Vermögen gekommen. Mit Verfügung vom 27. Mai 2013 (Urk. 5) sistierte die Vo- rinstanz das Rechtsöffnungsverfahren bis zum rechtskräftigen Entscheid über die Klage auf Bestreitung des neuen Vermögens.</w:t>
      </w:r>
    </w:p>
    <w:p>
      <w:r>
        <w:rPr>
          <w:b/>
        </w:rPr>
        <w:t>E. 1.2</w:t>
      </w:r>
    </w:p>
    <w:p>
      <w:r>
        <w:t>Hiergegen erhob der Gesuchsgegner mit elektronischer Eingabe vom 10. Juni 2013 Beschwerde mit den folgenden Rechtsbegehren (Urk. 1 S. 1): " a) Die Gerichte haben Ihre Fehler zu gestehen und zu berichtigen. b) Diese Beschwerde gegen die oben genannte Verfügung gilt, für ab dem Moment an, falls die Sistierung über das Rechtsöffnungs- verfahren, durch den rechtskräftigen Entscheid über die Klage auf Bestreitung neuen Vermögens aufgehoben werden sollte. c) Als Laie verlange ich die mir zustehende Rechtsvertretung, da wenn das Gericht selbst schon grosse Fehler zum Nachteil des Klagenden verursacht, dies genug dafür spricht und belegt, dass die Angelegenheit überaus kompliziert für mich als Laie ist und ich umso mehr auf einen Anwalt angewiesen bin und mir dieser Fall ohne einen Solchen ganz sicher zum Nachteil und Schaden erwächst. d) Durch dieses Verfahren dürfen mir keine Kosten entstehen. Alles unter Kosten- und Entschädigungsfolge zu Lasten der Beklagten, der Verursacher oder der Gerichte. e) Sämtlichen von mir aufgeführten Anträge in meiner Klage, unter Anderem wichtige Beweisanträge etc. sind von den Gerichte un- verzüglich Folge zu leisten, ohne dies noch weiter zeitlich hinaus- zuschieben."</w:t>
      </w:r>
    </w:p>
    <w:p>
      <w:r>
        <w:rPr>
          <w:b/>
        </w:rPr>
        <w:t>E. 1.3</w:t>
      </w:r>
    </w:p>
    <w:p>
      <w:r>
        <w:t>Die elektronische Eingabe des Gesuchsgegners ist gemäss "Prüfbericht für gemäss ZertES qualifiziert signierte Dokumente" (Urk. 2) ungültig. Es fehlt an ei- ner gültigen Signatur gemäss Art. 130 Abs. 2 ZPO. Eine allfällige Nachfristanset- zung kann jedoch mit Blick auf die nachfolgenden Erwägungen unterbleiben, da</w:t>
      </w:r>
    </w:p>
    <w:p>
      <w:r>
        <w:t>- 3 - auf die Beschwerde ohnehin nicht einzutreten ist. Aus demselben Grund erübrigt sich auch das Einholen einer Beschwerdeantwort.</w:t>
      </w:r>
    </w:p>
    <w:p>
      <w:r>
        <w:rPr>
          <w:b/>
        </w:rPr>
        <w:t>E. 2</w:t>
      </w:r>
    </w:p>
    <w:p>
      <w:r>
        <w:t>Prozessuales</w:t>
      </w:r>
    </w:p>
    <w:p>
      <w:r>
        <w:rPr>
          <w:b/>
        </w:rPr>
        <w:t>E. 2.1</w:t>
      </w:r>
    </w:p>
    <w:p>
      <w:r>
        <w:t>Gemäss Art. 59 Abs. 1 ZPO tritt das Gericht auf eine Klage oder ein Gesuch ein, sofern die Prozessvoraussetzungen erfüllt sind. Eine dieser Prozess- voraussetzungen ist das Rechtsschutzinteresse (Art. 59 Abs. 2 lit. a ZPO). Dieses Interesse kann rechtlicher oder tatsächlicher Art sein. Im Rahmen des Rechtsmit- telverfahrens entspricht das Rechtsschutzinteresse der Beschwer. Der Rechtsmit- telkläger muss durch den angefochtenen Entscheid beschwert sein und damit ein Interesse an dessen Abänderung haben, ansonsten auf das Rechtsmittel nicht eingetreten wird (Zürcher, in: Sutter-Somm/Hasenböhler/Leuenberger, Kommen- tar zur Schweizerischen Zivilprozessordnung (ZPO), Zürich/Basel/Genf 2013, Art. 59 N 12 ff.).</w:t>
      </w:r>
    </w:p>
    <w:p>
      <w:r>
        <w:rPr>
          <w:b/>
        </w:rPr>
        <w:t>E. 2.2</w:t>
      </w:r>
    </w:p>
    <w:p>
      <w:r>
        <w:t>Lit. b) der Anträge des Gesuchsgegners im Beschwerdeverfahren lässt sich entnehmen, dass er gar nicht den Sistierungsentscheid der Vorinstanz an- fechten möchte. Vielmehr scheint er prophylaktisch eine Beschwerde für die Zu- kunft erheben zu wollen, wenn das Rechtsöffnungsverfahren zufolge Aufhebung der Sistierung weitergeführt wird. Damit wird ein schutzwürdiges Interesse an der Anfechtung des erstinstanzlichen Sistierungsentscheid nicht einmal behauptet, weshalb auf die Beschwerde nicht einzutreten ist.</w:t>
      </w:r>
    </w:p>
    <w:p>
      <w:r>
        <w:rPr>
          <w:b/>
        </w:rPr>
        <w:t>E. 3</w:t>
      </w:r>
    </w:p>
    <w:p>
      <w:r>
        <w:t>Kosten- und Entschädigungsfolgen Ausgangsgemäss sind die Verfahrenskosten in Anwendung von Art. 48 GebV SchKG auf Fr. 300.– festzusetzen und gestützt auf Art. 106 Abs. 1 ZPO dem Ge- suchsgegner aufzuerlegen. Der Gesuchstellerin ist mangels wesentlicher Umtrie- be für das Beschwerdeverfahren keine Entschädigung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