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RT130092 vom 14. Juni 2013</w:t>
      </w:r>
    </w:p>
    <w:p>
      <w:r>
        <w:t>ZH Obergericht, 2013-06-14, DE</w:t>
      </w:r>
    </w:p>
    <w:p>
      <w:r>
        <w:rPr>
          <w:b/>
        </w:rPr>
        <w:t xml:space="preserve">Quelle: </w:t>
      </w:r>
      <w:r>
        <w:t>https://mcp.opencaselaw.ch/entscheid/zh_obergericht_RT130092</w:t>
      </w:r>
    </w:p>
    <w:p>
      <w:r>
        <w:t>FR: ZH_OBERGERICHT RT130092 du 14 juin 2013</w:t>
      </w:r>
    </w:p>
    <w:p>
      <w:r>
        <w:t>IT: ZH_OBERGERICHT RT130092 del 14 giugno 2013</w:t>
      </w:r>
    </w:p>
    <w:p>
      <w:pPr>
        <w:pStyle w:val="Heading2"/>
      </w:pPr>
      <w:r>
        <w:t>Erwägungen</w:t>
      </w:r>
    </w:p>
    <w:p>
      <w:r>
        <w:rPr>
          <w:b/>
        </w:rPr>
        <w:t>E. 1</w:t>
      </w:r>
    </w:p>
    <w:p>
      <w:r>
        <w:t>a) Mit Urteil vom 8. April 2013 erteilte die Vorinstanz den Gesuchstel- lern] in der Betreibung Nr. … des Betreibungsamts B._____ (Zahlungsbefehl vom</w:t>
      </w:r>
    </w:p>
    <w:p>
      <w:r>
        <w:rPr>
          <w:b/>
        </w:rPr>
        <w:t>E. 4</w:t>
      </w:r>
    </w:p>
    <w:p>
      <w:r>
        <w:t>a) Eine Person hat im Falle der Bedürftigkeit Anspruch auf unentgeltli- che Rechtspflege, wenn ihr Rechtsbegehren nicht aussichtslos erscheint (Art. 117 ZPO). Unklar ist, ob die Gesuchsgegnerin für das Beschwerdeverfahren ein Ge- such um Gewährung der unentgeltlichen Rechtspflege stellt (Urk. 10 S. 2). Ginge man von einem solchen aus, hätte dieses im Lichte der vorstehenden Erwägungen zufolge Aussichtslosigkeit der Beschwerde abgewiesen werden müssen (Art. 117 lit. b ZPO). b) Die Entscheidgebühr für das Beschwerdeverfahren ist in Anwen- dung von Art. 48 i.V.m. Art. 61 Abs. 1 GebV SchKG (vgl. ZR 110/2011 Nr. 28) auf Fr. 300.– festzusetzen. Die Gerichtskosten sind ausgangsgemäss der Gesuchs- gegnerin aufzuerlegen (Art. 106 Abs. 1 ZPO). c) Den Gesuchstellern ist mangels relevanter Umtriebe im Beschwer- deverfahren keine Parteientschädigung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