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RT130089 vom 10. Juni 2013</w:t>
      </w:r>
    </w:p>
    <w:p>
      <w:r>
        <w:t>ZH Obergericht, 2013-06-10, DE</w:t>
      </w:r>
    </w:p>
    <w:p>
      <w:r>
        <w:rPr>
          <w:b/>
        </w:rPr>
        <w:t xml:space="preserve">Quelle: </w:t>
      </w:r>
      <w:r>
        <w:t>https://mcp.opencaselaw.ch/entscheid/zh_obergericht_RT130089</w:t>
      </w:r>
    </w:p>
    <w:p>
      <w:r>
        <w:t>FR: ZH_OBERGERICHT RT130089 du 10 juin 2013</w:t>
      </w:r>
    </w:p>
    <w:p>
      <w:r>
        <w:t>IT: ZH_OBERGERICHT RT130089 del 10 giugno 2013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Mit der Beschwerde können unrichtige Rechtsanwendung und offensicht- lich unrichtige Feststellung des Sachverhalts geltend gemacht werden (Art. 320 ZPO). Im Beschwerdeverfahren gilt das Rügeprinzip (Sutter-Somm/Hasen- böhler/Leuenberger [Hrsg.], Kommentar zur Schweizerischen Zivilprozessord- nung, Zürich 2013, N 15 zu Art. 321 ZPO), d.h. die Beschwerde führende Partei hat im Einzelnen darzulegen, an welchen Mängeln (unrichtige Rechtsanwendung, offensichtlich unrichtige Feststellung des Sachverhalts) der angefochtene Ent- scheid ihrer Ansicht nach leidet. Was nicht gerügt wird, hat grundsätzlich Bestand. Neue Anträge, neue Tatsachenbehauptungen und neue Beweismittel sind im Be- schwerdeverfahren ausgeschlossen (Art. 326 Abs. 1 ZPO). Werden keine, unzu- lässige oder ungenügende Rügen erhoben, stellt dies einen nicht behebbaren Mangel dar (vgl. Art. 132 ZPO), d.h. ist nicht eine Nachfrist zur ergänzenden Be- gründung anzusetzen, sondern ist die Beschwerde abzuweisen.</w:t>
      </w:r>
    </w:p>
    <w:p>
      <w:r>
        <w:rPr>
          <w:b/>
        </w:rPr>
        <w:t>E. 3</w:t>
      </w:r>
    </w:p>
    <w:p>
      <w:r>
        <w:t>Der Gesuchsgegner hat an der von der Vorinstanz auf den 2. Mai 2013 angesetzten Verhandlung unentschuldigt nicht teilgenommen (Urk. 4; Urk. 10 S. 2). Insoweit der Gesuchsgegener mit dem Hinweis darauf, dass er seit dem 27. Oktober 2012 krank sei (Urk. 9), das vorinstanzliche Verfahren beanstanden</w:t>
      </w:r>
    </w:p>
    <w:p>
      <w:r>
        <w:t>- 3 - will, ist zu beachten, dass er nicht behauptet, die vorinstanzliche Vorladung nicht erhalten zu haben (Urk. 4). Der Gesuchsgegner hat vor Vorinstanz kein Verschie- bungsgesuch eingereicht. Das nunmehr eingereichte Arztzeugnis vom 8. April 2013 (Urk. 11/3) wird verspätet vorgebracht und ist aufgrund des strengen No- venverbots nicht mehr zu beachten. Sodann bescheinigt es zwar eine 100%-ige Arbeits,- nicht hingegen eine Verhandlungsunfähigkeit. 4.1. Die Vorinstanz hat definitive Rechtsöffnung gestützt auf die rechtskräfti- ge Kassenverfügung der Gesuchstellerin vom 31. Oktober 2012, mit welcher der Gesuchsgegner zur Rückerstattung von zu Unrecht bezogenen Leistungen im Be- trag von Fr. 1'278.10 verpflichtet wurde, erteilt (Urk. 10 S. 2). Der Gesuchsgegner macht mit der Beschwerde geltend, er sei seit mehr als 12 Monaten krankge- schrieben. Die Gesuchstellerin habe ihm eine neue Rahmenfrist "gegeben und wieder entnommen." Jetzt müsse er das Geld zurückbezahlen. Dies sei eine Un- gerechtigkeit (Urk. 9). 4.2. Im Rechtsöffnungsverfahren wird nicht die Begründetheit einer Forde- rung geprüft, wie dies der Gesuchsgegner anstrebt, – dies hat im ordentlichen Verfahren zu geschehen -, sondern nur, ob die Voraussetzungen für eine proviso- rische oder definitive Rechtsöffnung (entsprechender Rechtsöffnungstitel, keine Einwendungen sofort glaubhaft gemacht) erfüllt sind. Dies hat die Vorinstanz dar- gelegt (Urk. 10 S. 2), worauf zwecks Vermeidung unnötiger Wiederholungen ver- wiesen werden kann. Jene Erwägungen sind denn auch – zu Recht – ungerügt geblieben.</w:t>
      </w:r>
    </w:p>
    <w:p>
      <w:r>
        <w:rPr>
          <w:b/>
        </w:rPr>
        <w:t>E. 5</w:t>
      </w:r>
    </w:p>
    <w:p>
      <w:r>
        <w:t>Die Beschwerde des Gesuchsgegners ist damit abzuweisen.</w:t>
      </w:r>
    </w:p>
    <w:p>
      <w:r>
        <w:rPr>
          <w:b/>
        </w:rPr>
        <w:t>E. 6</w:t>
      </w:r>
    </w:p>
    <w:p>
      <w:r>
        <w:t>Bei diesem Ausgang des Verfahrens wird der Gesuchsgegner für das zweitinstanzliche Verfahren kostenpflichtig. Die Entscheidgebühr für das Be- schwerdeverfahren ist in Anwendung von Art. 48 i.V.m. Art. 61 Abs. 1 GebV SchKG (vgl. ZR 110/2011 Nr. 28) auf Fr. 200.– festzusetzen. Der Gesuchstellerin ist mangels relevanter Umtriebe im Beschwerdeverfahren keine Parteientschädi- gung zuzusprechen (vgl. Art. 95 Abs. 3 ZPO).</w:t>
      </w:r>
    </w:p>
    <w:p>
      <w:r>
        <w:t>- 4 -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