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RT130088 vom 10. Juni 2013</w:t>
      </w:r>
    </w:p>
    <w:p>
      <w:r>
        <w:t>ZH Obergericht, 2013-06-10, DE</w:t>
      </w:r>
    </w:p>
    <w:p>
      <w:r>
        <w:rPr>
          <w:b/>
        </w:rPr>
        <w:t xml:space="preserve">Quelle: </w:t>
      </w:r>
      <w:r>
        <w:t>https://mcp.opencaselaw.ch/entscheid/zh_obergericht_RT130088</w:t>
      </w:r>
    </w:p>
    <w:p>
      <w:r>
        <w:t>FR: ZH_OBERGERICHT RT130088 du 10 juin 2013</w:t>
      </w:r>
    </w:p>
    <w:p>
      <w:r>
        <w:t>IT: ZH_OBERGERICHT RT130088 del 10 giugno 2013</w:t>
      </w:r>
    </w:p>
    <w:p>
      <w:pPr>
        <w:pStyle w:val="Heading2"/>
      </w:pPr>
      <w:r>
        <w:t>Erwägungen</w:t>
      </w:r>
    </w:p>
    <w:p>
      <w:r>
        <w:rPr>
          <w:b/>
        </w:rPr>
        <w:t>E. 1</w:t>
      </w:r>
    </w:p>
    <w:p>
      <w:r>
        <w:t>Mit Eingabe vom 2. Mai 2013 stellten die Gesuchsteller in der Betrei- bung Nr. … des Betreibungsamts C._____ (Zahlungsbefehl vom 22. März 2013) ein Rechtsöffnungsbegehren für ausstehende Staats- und Gemeindesteuern 2011 von Fr. 1'750.65 nebst 4.5% Zins seit 20. März 2013, Fr. 51.20 und Betreibungs- kosten (Urk. 6/1). Mit Verfügung vom 8. Mai 2013 setzte die Vorinstanz den Ge- suchstellern eine Frist von 14 Tagen zur Leistung eines Gerichtskostenvorschus- ses von Fr. 250.– an (Urk. 6/2). b) Dagegen erhob die Gesuchsgegnerin mit Eingabe vom 17. Mai 2013, gleichentags zur Post gegeben, eingegangen am 27. Mai 2013, Beschwerde (Urk. 1). c) Da offensichtlich war, dass die Gesuchsgegnerin durch die angefoch- tene Verfügung keinen Rechtsnachteil erleidet, wurde ihr mit Schreiben vom 27. Mai 2013 Gelegenheit gegeben, auf die Durchführung eines Beschwerdever- fahrens zu verzichten (Urk. 4). Mit Schreiben vom 29. Mai 2013 hielt sie an ihrer Beschwerde fest und verlangte die Durchführung des Verfahrens (Urk. 5), wes- halb in der Folge das vorliegende Beschwerdeverfahren angelegt wurde. Die vorinstanzlichen Akten wurden beigezogen. d) Da sich die Beschwerde sogleich als offensichtlich unbegründet bzw. unzulässig erweist, kann auf die Einholung einer Beschwerdeantwort verzichtet werden (Art. 322 Abs. 1 ZPO).</w:t>
      </w:r>
    </w:p>
    <w:p>
      <w:r>
        <w:rPr>
          <w:b/>
        </w:rPr>
        <w:t>E. 2</w:t>
      </w:r>
    </w:p>
    <w:p>
      <w:r>
        <w:t>Auf ein Rechtsmittel ist nur einzutreten, soweit die Partei, welche das Rechtsmittel ergriffen hat, durch den angefochtenen Entscheid beschwert ist, d.h. soweit sie durch den angefochtenen Entscheid einen Rechtsnachteil erleidet (Art. 59 Abs. 1 und Abs. 2 lit. a ZPO). Durch die vorliegend angefochtene vorin- stanzliche Verfügung vom 8. Mai 2013 wurde einzig den Gesuchstellern Frist an- gesetzt und Säumnisfolgen angedroht. Es wurde jedoch nichts zum Nachteil der Gesuchsgegnerin entschieden (Urk. 6/2). Sie ist damit durch den angefochtenen</w:t>
      </w:r>
    </w:p>
    <w:p>
      <w:r>
        <w:t>- 3 - Entscheid nicht beschwert. Demzufolge ist auf ihre dagegen erhobene Beschwer- de nicht einzutreten.</w:t>
      </w:r>
    </w:p>
    <w:p>
      <w:r>
        <w:rPr>
          <w:b/>
        </w:rPr>
        <w:t>E. 3</w:t>
      </w:r>
    </w:p>
    <w:p>
      <w:r>
        <w:t>a) Die zweitinstanzliche Entscheidgebühr ist in Anwendung von Art. 48 i.V.m. Art. 61 Abs. 1 GebV SchKG (vgl. ZR 110 Nr. 28) auf Fr. 300.– fest- zusetzen. Die Gerichtskosten des Beschwerdeverfahrens sind ausgangsgemäss der unterliegenden Gesuchsgegnerin aufzuerlegen (Art. 106 Abs. 1 ZPO). b) Für das Beschwerdeverfahren ist den Gesuchstellern mangels re- levanter Umtriebe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