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RT130077 vom 28. Mai 2013</w:t>
      </w:r>
    </w:p>
    <w:p>
      <w:r>
        <w:t>ZH Obergericht, 2013-05-28, DE</w:t>
      </w:r>
    </w:p>
    <w:p>
      <w:r>
        <w:rPr>
          <w:b/>
        </w:rPr>
        <w:t xml:space="preserve">Quelle: </w:t>
      </w:r>
      <w:r>
        <w:t>https://mcp.opencaselaw.ch/entscheid/zh_obergericht_RT130077</w:t>
      </w:r>
    </w:p>
    <w:p>
      <w:r>
        <w:t>FR: ZH_OBERGERICHT RT130077 du 28 mai 2013</w:t>
      </w:r>
    </w:p>
    <w:p>
      <w:r>
        <w:t>IT: ZH_OBERGERICHT RT130077 del 28 maggio 2013</w:t>
      </w:r>
    </w:p>
    <w:p>
      <w:pPr>
        <w:pStyle w:val="Heading2"/>
      </w:pPr>
      <w:r>
        <w:t>Erwägungen</w:t>
      </w:r>
    </w:p>
    <w:p>
      <w:r>
        <w:rPr>
          <w:b/>
        </w:rPr>
        <w:t>E. 1</w:t>
      </w:r>
    </w:p>
    <w:p>
      <w:r>
        <w:t>a) Mit Verfügung vom 24. April 2013 (Urk. 7 = Urk. 13) schrieb die Vorinstanz das Rechtsöffnungsverfahren in der Betreibung Nr. … des Betrei- bungsamts D._____ (Zahlungsbefehl vom 29. Januar 2013) – wegen Aufhebung der Betreibung infolge Eröffnung des Konkurses über die Beklagte – ab (Disp.- Ziff. 1). Hinsichtlich der Kostenfolgen entschied die Vorinstanz:</w:t>
      </w:r>
    </w:p>
    <w:p>
      <w:r>
        <w:rPr>
          <w:b/>
        </w:rPr>
        <w:t>E. 2</w:t>
      </w:r>
    </w:p>
    <w:p>
      <w:r>
        <w:t>a) Aus den Vorbringen in der Beschwerdeschrift ist zu schliessen, dass die Klägerin weder die Höhe der erstinstanzlichen Gerichtsgebühr noch die Kostenauflage an sich anficht, sondern den Bezug der Kosten vorab von ihr ("di- rekt bei der beklagten Partei einzufordern"; Urk.12). b) Mit der Beschwerde können unrichtige Rechtsanwendung und offen- sichtlich unrichtige Feststellung des Sachverhalts geltend gemacht werden (Art. 320 ZPO). Im Beschwerdeverfahren gilt das Rügeprinzip, d.h. die Beschwer- de führende Partei hat im Einzelnen darzulegen, an welchen Mängeln (unrichtige Rechtsanwendung, offensichtlich unrichtige Feststellung des Sachverhalts) der angefochtene Entscheid ihrer Ansicht nach leidet (Sutter-Somm/Hasenböhler/ Leuenberger [Hrsg.], Kommentar zur Schweizerischen Zivilprozessordnung, 2.A. 2013, N 15 zu Art. 321 ZPO; Sterchi, BE-Kommentar, N 17 ff. zu Art. 321 ZPO). Was nicht gerügt wird, hat grundsätzlich Bestand.</w:t>
      </w:r>
    </w:p>
    <w:p>
      <w:r>
        <w:t>- 3 - c) Die Klägerin erhebt in ihrer Beschwerde keine konkreten Rügen gegen den angefochtenen Entscheid. Der Bezug der Kosten für das Rechtsöffnungsver- fahren vorab von der Klägerin als Gläubigerin entspricht denn auch dem Gesetz. Die entsprechende gesetzliche Regelung lautet (Art. 68 Abs. 1 Satz 1+2 SchKG): "Der Schuldner trägt die Betreibungskosten. Dieselben sind vom Gläubiger vorzu- schiessen." Dies gilt auch für das Rechtsöffnungsverfahren, welches Teil der Be- treibung ist. Das Gesetz sieht sodann keine Ausnahme für den Fall vor, dass der Gläubiger die von ihm vorzuschiessenden Kosten vom Schuldner allenfalls nicht erhältlich machen kann. Die angefochtene Verfügung erweist sich damit als recht- lich korrekt. Die Beschwerde der Klägerin ist als unbegründet abzuweisen.</w:t>
      </w:r>
    </w:p>
    <w:p>
      <w:r>
        <w:rPr>
          <w:b/>
        </w:rPr>
        <w:t>E. 3</w:t>
      </w:r>
    </w:p>
    <w:p>
      <w:r>
        <w:t>a) Für das Beschwerdeverfahren beträgt der Streitwert Fr. 240.--. Die zweitinstanzliche Entscheidgebühr ist in Anwendung von Art. 48 i.V.m. Art. 61 Abs. 1 GebV SchKG (vgl. ZR 110/2011 Nr. 28) auf Fr. 75.– festzusetzen. b) Die Gerichtskosten des Beschwerdeverfahrens sind ausgangsgemäss der Klägerin aufzuerlegen (Art. 106 Abs. 1 ZPO). c) Für das Beschwerdeverfahren hat die Klägerin zufolge ihres Unterlie- gens keinen Anspruch auf eine Entschädigung. Der Beklagten erwuchs kein er- heblicher Aufwand. Demgemäss sind für das Beschwerdeverfahren keine Partei- entschädigungen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