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RT130072 vom 22. August 2013</w:t>
      </w:r>
    </w:p>
    <w:p>
      <w:r>
        <w:t>ZH Obergericht, 2013-08-22, DE</w:t>
      </w:r>
    </w:p>
    <w:p>
      <w:r>
        <w:rPr>
          <w:b/>
        </w:rPr>
        <w:t xml:space="preserve">Quelle: </w:t>
      </w:r>
      <w:r>
        <w:t>https://mcp.opencaselaw.ch/entscheid/zh_obergericht_RT130072</w:t>
      </w:r>
    </w:p>
    <w:p>
      <w:r>
        <w:t>FR: ZH_OBERGERICHT RT130072 du 22 août 2013</w:t>
      </w:r>
    </w:p>
    <w:p>
      <w:r>
        <w:t>IT: ZH_OBERGERICHT RT130072 del 22 agosto 2013</w:t>
      </w:r>
    </w:p>
    <w:p>
      <w:pPr>
        <w:pStyle w:val="Heading2"/>
      </w:pPr>
      <w:r>
        <w:t>Erwägungen</w:t>
      </w:r>
    </w:p>
    <w:p>
      <w:r>
        <w:rPr>
          <w:b/>
        </w:rPr>
        <w:t>E. 1</w:t>
      </w:r>
    </w:p>
    <w:p>
      <w:r>
        <w:t>a) Mit Urteil vom 23. April 2013 erteilte die Vorinstanz den Gesuchstellern und Beschwerdegegnern (fortan Gesuchsteller) in der Betreibung Nr. … des Be- treibungsamtes C._____ (Zahlungsbefehl vom 20. Februar 2013) – gestützt auf den rechtskräftigen Einschätzungsentscheid der Steuerbehörden vom 22. August 2012 für die Staats- und Gemeindesteuern 2010 sowie die darauf basierende Schlussrechnung des Steueramtes der Gemeinde B._____ vom 7. September 2012 – definitive Rechtsöffnung für Fr. 6'303.30 nebst 4.5% Zins seit 20. Februar 2013, Fr. 326.45 aufgelaufener Zins bis 19. Februar 2013 und für die Betrei- bungskosten sowie für Kosten und Entschädigung gemäss diesem Entscheid (Urk. 11 S. 5 Dispositivziffer 1). b) Hiergegen hat die Gesuchsgegnerin und Beschwerdeführerin (fortan Ge- suchsgegnerin) am 4. Mai 2013 fristgerecht (vgl. Urk. 9/1) Beschwerde erhoben (Urk. 10).</w:t>
      </w:r>
    </w:p>
    <w:p>
      <w:r>
        <w:rPr>
          <w:b/>
        </w:rPr>
        <w:t>E. 2</w:t>
      </w:r>
    </w:p>
    <w:p>
      <w:r>
        <w:t>a) Die Gesuchsgegnerin bringt in ihrer Beschwerde vor, sie sei zutiefst empört und erschüttert ab der Art und dem, was hier abgelaufen sei. So etwas könne sie in dieser Form nicht mehr tolerieren und unter keinen Umständen mehr akzeptieren. Sie werde ihre Anträge per Rechtsanwalt formulieren und das Ober- gericht werde diese baldmöglichst erhalten (Urk. 10). Weitere Eingaben der Ge- suchsgegnerin sind indes nicht mehr erfolgt. b) Schon die Vorinstanz hat in ihrer Rechtsmittelbelehrung (Urk. 11 S. 5 Dispositivziffer 7) darauf hingewiesen, dass in einer Beschwerde Anträge zu stel- len und zu begründen sind. Die Beschwerde der Gesuchsgegnerin enthält jedoch ausdrücklich keine Anträge und ebensowenig eine Begründung (Urk. 10). Auf die Beschwerde kann daher nicht eingetreten werden. c) Die Gesuchsgegnerin ist im Übrigen darauf hinzuweisen, dass das Ge- richt im Verfahren auf definitive Rechtsöffnung nicht mehr prüfen darf, ob eine Forderung zu Recht besteht oder nicht. Die Vorinstanz war daher gar nicht befugt zu prüfen, ob der Einschätzungsentscheid des Kantonalen Steueramtes Zürich</w:t>
      </w:r>
    </w:p>
    <w:p>
      <w:r>
        <w:t>- 3 - vom 22. August 2012 (betreffend Staats- und Gemeindesteuern 2010) korrekt war oder nicht. Diese Prüfung hätte in einem allfälligen Rechtsmittelverfahren gegen jenen Einschätzungsentscheid vorgenommen werden können, jedoch nicht mehr im Rahmen der Rechtsöffnung.</w:t>
      </w:r>
    </w:p>
    <w:p>
      <w:r>
        <w:rPr>
          <w:b/>
        </w:rPr>
        <w:t>E. 3</w:t>
      </w:r>
    </w:p>
    <w:p>
      <w:r>
        <w:t>a) Die Entscheidgebühr für das Beschwerdeverfahren ist in Anwendung von Art. 48 GebV SchKG (vgl. ZR 110/2011 Nr. 28) auf Fr. 300.– festzusetzen. b) Die Gerichtskosten sind ausgangsgemäss der unterliegenden Gesuchs- gegnerin aufzuerlegen (Art. 106 Abs. 1 ZPO). c) Für das Beschwerdeverfahren sind keine Parteientschädigungen zuzu- sprechen, den Gesuchstellern mangels relevanter Umtriebe, der Gesuchsgegne- rin schon mangels eines entsprechenden Antrags und weil sie ohnehin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