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RT130066 vom 19. Juni 2013</w:t>
      </w:r>
    </w:p>
    <w:p>
      <w:r>
        <w:t>ZH Obergericht, 2013-06-19, DE</w:t>
      </w:r>
    </w:p>
    <w:p>
      <w:r>
        <w:rPr>
          <w:b/>
        </w:rPr>
        <w:t xml:space="preserve">Quelle: </w:t>
      </w:r>
      <w:r>
        <w:t>https://mcp.opencaselaw.ch/entscheid/zh_obergericht_RT130066</w:t>
      </w:r>
    </w:p>
    <w:p>
      <w:r>
        <w:t>FR: ZH_OBERGERICHT RT130066 du 19 juin 2013</w:t>
      </w:r>
    </w:p>
    <w:p>
      <w:r>
        <w:t>IT: ZH_OBERGERICHT RT130066 del 19 giugno 2013</w:t>
      </w:r>
    </w:p>
    <w:p>
      <w:pPr>
        <w:pStyle w:val="Heading2"/>
      </w:pPr>
      <w:r>
        <w:t>Erwägungen</w:t>
      </w:r>
    </w:p>
    <w:p>
      <w:r>
        <w:rPr>
          <w:b/>
        </w:rPr>
        <w:t>E. 1</w:t>
      </w:r>
    </w:p>
    <w:p>
      <w:r>
        <w:t>Auf die Beschwerde des Beschwerdeführers wird nicht eingetreten.</w:t>
      </w:r>
    </w:p>
    <w:p>
      <w:r>
        <w:t>- 3 -</w:t>
      </w:r>
    </w:p>
    <w:p>
      <w:r>
        <w:rPr>
          <w:b/>
        </w:rPr>
        <w:t>E. 2</w:t>
      </w:r>
    </w:p>
    <w:p>
      <w:r>
        <w:t>Die zweitinstanzliche Entscheidgebühr wird auf Fr. 300.– festgesetzt.</w:t>
      </w:r>
    </w:p>
    <w:p>
      <w:r>
        <w:rPr>
          <w:b/>
        </w:rPr>
        <w:t>E. 3</w:t>
      </w:r>
    </w:p>
    <w:p>
      <w:r>
        <w:t>Die Gerichtskosten des Beschwerdeverfahrens werden dem Beschwerdeführer auferlegt.</w:t>
      </w:r>
    </w:p>
    <w:p>
      <w:r>
        <w:rPr>
          <w:b/>
        </w:rPr>
        <w:t>E. 4</w:t>
      </w:r>
    </w:p>
    <w:p>
      <w:r>
        <w:t>Dem Beschwerdegegner wird für das Beschwerdeverfahren keine Parteientschädigung zugesprochen.</w:t>
      </w:r>
    </w:p>
    <w:p>
      <w:r>
        <w:rPr>
          <w:b/>
        </w:rPr>
        <w:t>E. 5</w:t>
      </w:r>
    </w:p>
    <w:p>
      <w:r>
        <w:t>Schriftliche Mitteilung an die Parteien, an den Beschwerdegegner unter Beilage eines Doppels von Urk.16 und Urk. 18 und einer Kopie der Urk. 19/2-14, sowie an das Einzelgericht Audienz am Bezirksgericht Zürich, je gegen Empfangsschein. Die erstinstanzlichen Akten gehen nach unbenütztem Ablauf der Rechtsmittelfrist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4'610.–. Die Beschwerde an das Bundesgericht hat keine aufschiebende Wirkung. Hinsichtlich des Fristenlaufs gelten die Art. 44 ff. BGG. Zürich, 19. Juni 2013 Obergericht des Kantons Zürich I. Zivilkammer Die Gerichtsschreiberin: lic. iur. K. Montani Schmidt versandt am:</w:t>
      </w:r>
    </w:p>
    <w:p>
      <w:r>
        <w:t>- 4 -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