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RT130057 vom 26. Juni 2013</w:t>
      </w:r>
    </w:p>
    <w:p>
      <w:r>
        <w:t>ZH Obergericht, 2013-06-26, DE</w:t>
      </w:r>
    </w:p>
    <w:p>
      <w:r>
        <w:rPr>
          <w:b/>
        </w:rPr>
        <w:t xml:space="preserve">Quelle: </w:t>
      </w:r>
      <w:r>
        <w:t>https://mcp.opencaselaw.ch/entscheid/zh_obergericht_RT130057</w:t>
      </w:r>
    </w:p>
    <w:p>
      <w:r>
        <w:t>FR: ZH_OBERGERICHT RT130057 du 26 juin 2013</w:t>
      </w:r>
    </w:p>
    <w:p>
      <w:r>
        <w:t>IT: ZH_OBERGERICHT RT130057 del 26 giugno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der Vorinstanz vom 20. Februar 2013 (Urk. 10 = Urk. 14) wurde der Gesuchstellerin und Beschwerdegegnerin (fortan: Gesuchstellerin) in der Betreibung Nr. … des Betreibungsamtes C._____ (Zahlungsbefehl vom 18. Dezember 2012) definitive Rechtsöffnung erteilt für Fr. 2'525.– nebst Zins zu</w:t>
      </w:r>
    </w:p>
    <w:p>
      <w:r>
        <w:rPr>
          <w:b/>
        </w:rPr>
        <w:t>E. 5</w:t>
      </w:r>
    </w:p>
    <w:p>
      <w:r>
        <w:t>Für das Beschwerdeverfahren ist von einem Streitwert von Fr. 2'525.– auszugehen. Die Spruchgebühr für das Beschwerdeverfahren ist in Anwendung von Art. 48 in Verbindung mit Art. 61 Abs. 1 GebV SchKG (BGer 5A_492/2012, 5A_493/2012 vom 13. März 2013, E. 4, zur Publikation vorgesehen, und ZR 110 Nr. 28) auf Fr. 450.– festzusetzen. Die Gerichtskosten für das Beschwerdeverfah- ren sind ausgangsgemäss dem Gesuchsgegner aufzuerlegen (Art. 106 Abs. 1 ZPO). Der Gesuchsgegner ist überdies antragsgemäss (Urk. 20 S. 2) zur Bezah- lung einer Parteientschädigung zu verpflichten, welche auf Fr. 280.– (die Gesuch- stellerin verlangte keinen Zuschlag für die Mehrwertsteuer; § 4 Abs. 1 i.V.m. § 9 i.V.m. § 13 Abs. 2 AnwGebV) festzusetzen ist.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