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RT130052 vom 19. März 2013</w:t>
      </w:r>
    </w:p>
    <w:p>
      <w:r>
        <w:t>ZH Obergericht, 2013-03-19, DE</w:t>
      </w:r>
    </w:p>
    <w:p>
      <w:r>
        <w:rPr>
          <w:b/>
        </w:rPr>
        <w:t xml:space="preserve">Quelle: </w:t>
      </w:r>
      <w:r>
        <w:t>https://mcp.opencaselaw.ch/entscheid/zh_obergericht_RT130052</w:t>
      </w:r>
    </w:p>
    <w:p>
      <w:r>
        <w:t>FR: ZH_OBERGERICHT RT130052 du 19 mars 2013</w:t>
      </w:r>
    </w:p>
    <w:p>
      <w:r>
        <w:t>IT: ZH_OBERGERICHT RT130052 del 19 marzo 2013</w:t>
      </w:r>
    </w:p>
    <w:p>
      <w:pPr>
        <w:pStyle w:val="Heading2"/>
      </w:pPr>
      <w:r>
        <w:t>Erwägungen</w:t>
      </w:r>
    </w:p>
    <w:p>
      <w:r>
        <w:rPr>
          <w:b/>
        </w:rPr>
        <w:t>E. 1</w:t>
      </w:r>
    </w:p>
    <w:p>
      <w:r>
        <w:t>a) Mit Urteil vom 4. März 2013 wies das Einzelgericht Audienz am Bezirksgericht Zürich das Begehren des Gesuchstellers und Beschwerdeführers (fortan Gesuchsteller), es sei der Rechtsvorschlag in der Betreibung Nr. … des Betreibungsamtes B._____(Zahlungsbefehl vom 20. Juli 2012) betreffend Steuer- forderungen zu beseitigen, ihm für Fr. 3'240.15 nebst Zins zu 4.5 % seit 17. Juli 2012, Fr. 43.35 aufgelaufenen Zins, Fr. 50.– Mahnspesen sowie Fr. 78.– Betrei- bungskosten definitive Rechtsöffnung zu erteilen, unter Kosten- und Entschädi- gungsfolgen zu Lasten der Gesuchsgegnerin und Beschwerdegegnerin, vollum- fänglich ab; die Kosten wurden zu Lasten des Gesuchstellers geregelt, eine Par- teientschädigung wurde nicht zugesprochen (Urk. 7 S. 3). b) Gegen dieses Urteil vom 4. März 2013 erhob der Gesuchsteller am 7. März 2013 fristgerecht Beschwerde und beantragte in Aufhebung desselben die Gutheissung seines vorinstanzlichen Rechtsöffnungsbegehrens, unter Kosten- und Entschädigungsfolge zu Lasten der Gesuchsgegnerin (Urk. 6). c) Da sich die Beschwerde sogleich als unbegründet bzw. unzulässig er- weist, kann auf die Einholung einer Beschwerdeantwort der Gegenpartei verzich- tet werden (Art. 322 Abs. 1 ZPO).</w:t>
      </w:r>
    </w:p>
    <w:p>
      <w:r>
        <w:rPr>
          <w:b/>
        </w:rPr>
        <w:t>E. 2</w:t>
      </w:r>
    </w:p>
    <w:p>
      <w:r>
        <w:t>a) Die Vorinstanz begründete ihren Entscheid im Wesentlichen da- mit, dass die vom Gesuchsteller ins Recht gelegte Kopie der Steuerrechnung (bzw. -verfügung) nicht dem Original entspreche und Kopien als Rechtsöffnungsti- tel nur dann genügen würden, wenn diese exakt die Originalurkunde wiedergeben würden (Urk. 7 S. 2 E. 2.2). b) Die vorliegende Beschwerde erfolgt nunmehr unter Beilage des Origi- nals der besagten Steuerrechnung (bzw. -verfügung) vom 29. Februar 2012 (Urk. 8). c) Im Beschwerdeverfahren sind neue Anträge, neue Tatsachenbehaup- tungen und neue Beweismittel gemäss Art. 326 Abs. 1 ZPO ausgeschlossen. Dies wird mit dem Charakter der Beschwerde begründet, die sich als ausseror-</w:t>
      </w:r>
    </w:p>
    <w:p>
      <w:r>
        <w:t>- 3 - dentliches Rechtsmittel im Wesentlichen auf die Rechtskontrolle beschränkt und nicht das erstinstanzliche Verfahren fortsetzen soll. Das Novenverbot ist umfas- send und gilt sowohl für echte wie auch für unechte Noven (Freiburghaus/Afheldt, in: Sutter-Somm/Hasenböhler/Leuenberger, ZPO Komm., Zürich/Basel/Genf 2013, 2. Aufl., Art. 326 N 3 f.). Unechte Noven sind neue Tatsachen und Beweis- mittel, die bereits vor erster Instanz hätten vorgebracht werden können (vgl. Leu- enberger, in: Sutter-Somm/Hasenböhler/Leuen-berger, a.a.O., Art. 229 N 8). d) Aufgrund des Novenverbots kann im Beschwerdeverfahren nach ZPO das neu bei der Rechtsmittelinstanz eingereichte Original der Steuerrechnung vom 29. Februar 2012 (Urk. 8) nicht mehr berücksichtigt werden. Die Beschwerde ist abzuweisen.</w:t>
      </w:r>
    </w:p>
    <w:p>
      <w:r>
        <w:rPr>
          <w:b/>
        </w:rPr>
        <w:t>E. 3</w:t>
      </w:r>
    </w:p>
    <w:p>
      <w:r>
        <w:t>a) Für das Beschwerdeverfahren beträgt der Streitwert Fr. 3'368.15. Die zweitinstanzliche Entscheidgebühr ist in Anwendung von Art. 48 i.V.m. Art. 61 Abs. 1 GebV SchKG (vgl. ZR 110/2011 Nr. 28) auf Fr. 300.– festzusetzen. b) Die Gerichtskosten des Beschwerdeverfahrens sind ausgangsgemäss dem Gesuchsteller aufzuerlegen (Art. 106 Abs. 1 ZPO). c) Der Gesuchsgegnerin ist für das Beschwerdeverfahren mangels rele- vanter Umtriebe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