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RT130050 vom 18. März 2013</w:t>
      </w:r>
    </w:p>
    <w:p>
      <w:r>
        <w:t>ZH Obergericht, 2013-03-18, DE</w:t>
      </w:r>
    </w:p>
    <w:p>
      <w:r>
        <w:rPr>
          <w:b/>
        </w:rPr>
        <w:t xml:space="preserve">Quelle: </w:t>
      </w:r>
      <w:r>
        <w:t>https://mcp.opencaselaw.ch/entscheid/zh_obergericht_RT130050</w:t>
      </w:r>
    </w:p>
    <w:p>
      <w:r>
        <w:t>FR: ZH_OBERGERICHT RT130050 du 18 mars 2013</w:t>
      </w:r>
    </w:p>
    <w:p>
      <w:r>
        <w:t>IT: ZH_OBERGERICHT RT130050 del 18 marzo 2013</w:t>
      </w:r>
    </w:p>
    <w:p>
      <w:pPr>
        <w:pStyle w:val="Heading2"/>
      </w:pPr>
      <w:r>
        <w:t>Erwägungen</w:t>
      </w:r>
    </w:p>
    <w:p>
      <w:r>
        <w:rPr>
          <w:b/>
        </w:rPr>
        <w:t>E. 1</w:t>
      </w:r>
    </w:p>
    <w:p>
      <w:r>
        <w:t>Mit Verfügung vom 4. Februar 2013 ordnete das Einzelgericht im summarischen Verfahren für das bei ihr hängige Rechtsöffnungsbegehren in der Betreibung Nr. ... des Betreibungsamtes C._____ (Zahlungsbefehl vom 10. April 2012) das schriftliche Verfahren an und setzte der Gesuchstellerin und Beschwerdeführerin (fortan Gesuchstellerin) gleichzeitig Frist an, um einerseits das Rechtsöffnungsbegehren schriftlich zu begründen und andererseits einen Vorschuss für die mutmasslichen Gerichtskosten zu leisten (Urk. 2 S. 2 ff.).</w:t>
      </w:r>
    </w:p>
    <w:p>
      <w:r>
        <w:rPr>
          <w:b/>
        </w:rPr>
        <w:t>E. 2</w:t>
      </w:r>
    </w:p>
    <w:p>
      <w:r>
        <w:t>Mit Postaufgabe vom 6. März 2013 reichte die Gesuchstellerin bei der beschliessenden Kammer eine Kopie der vorgenannten Verfügung vom 4. Feb- ruar 2013 sowie in Kopie das bereits bei der Vorinstanz eingereichte Rechtsöffnungsbegehren samt Unterlagen ein (Urk. 1, Urk. 2, Urk. 3/1-4).</w:t>
      </w:r>
    </w:p>
    <w:p>
      <w:r>
        <w:rPr>
          <w:b/>
        </w:rPr>
        <w:t>E. 3</w:t>
      </w:r>
    </w:p>
    <w:p>
      <w:r>
        <w:t>Schriftliche Mitteilung an die Parteien, an die Gesuchstellerin unter Rücksendung ihrer Unterlagen, je gegen Empfangsschein. Die erstinstanzlichen Akten gehen nach unbenütztem Ablauf der Rechtsmittelfrist an die Vorinstanz zurück.</w:t>
      </w:r>
    </w:p>
    <w:p>
      <w:r>
        <w:rPr>
          <w:b/>
        </w:rPr>
        <w:t>E. 4</w:t>
      </w:r>
    </w:p>
    <w:p>
      <w:r>
        <w:t>Eine Beschwerde gegen diesen Entscheid an das Bundesgericht ist innert 30 Tagen von der Zustellung an beim Schweizerischen Bundesgericht,</w:t>
      </w:r>
    </w:p>
    <w:p>
      <w:r>
        <w:t>- 3 - 1000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7'166.40. Die Beschwerde an das Bundesgericht hat keine aufschiebende Wirkung. Hinsichtlich des Fristenlaufs gelten die Art. 44 ff. BGG.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