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RT130042 vom 4. März 2013</w:t>
      </w:r>
    </w:p>
    <w:p>
      <w:r>
        <w:t>ZH Obergericht, 2013-03-04, DE</w:t>
      </w:r>
    </w:p>
    <w:p>
      <w:r>
        <w:rPr>
          <w:b/>
        </w:rPr>
        <w:t xml:space="preserve">Quelle: </w:t>
      </w:r>
      <w:r>
        <w:t>https://mcp.opencaselaw.ch/entscheid/zh_obergericht_RT130042</w:t>
      </w:r>
    </w:p>
    <w:p>
      <w:r>
        <w:t>FR: ZH_OBERGERICHT RT130042 du 4 mars 2013</w:t>
      </w:r>
    </w:p>
    <w:p>
      <w:r>
        <w:t>IT: ZH_OBERGERICHT RT130042 del 4 marzo 2013</w:t>
      </w:r>
    </w:p>
    <w:p>
      <w:pPr>
        <w:pStyle w:val="Heading2"/>
      </w:pPr>
      <w:r>
        <w:t>Erwägungen</w:t>
      </w:r>
    </w:p>
    <w:p>
      <w:r>
        <w:rPr>
          <w:b/>
        </w:rPr>
        <w:t>E. 1</w:t>
      </w:r>
    </w:p>
    <w:p>
      <w:r>
        <w:t>a) Mit Verfügung vom 10. Januar 2013 trat die Vorinstanz auf das Rechtsöffnungsbegehren in der Betreibung Nr. … des Betreibungsamtes C._____ (Zahlungsbefehl vom 16. Juli 2012) nicht ein und auferlegte die Spruchgebühr von Fr. 50.– der Gesuchstellerin und Beschwerdeführerin (fortan Gesuchstellerin; Urk. 7 S. 2 Dispositivziffern 1 f.). b) Mit am 8. Februar 2013 zur Post gebrachten Eingabe reichte die Gesuch- stellerin eine Kopie der Verfügung vom 10. Januar 2013 ein, wobei sie in der Rechtsmittelbelehrung die Postadresse des Obergerichts des Kantons Zürich mit gelbem Textmarker und einem Pfeil bezeichnete (Urk. 6, insb. S. 2 Dispositivziffer 5).</w:t>
      </w:r>
    </w:p>
    <w:p>
      <w:r>
        <w:rPr>
          <w:b/>
        </w:rPr>
        <w:t>E. 2</w:t>
      </w:r>
    </w:p>
    <w:p>
      <w:r>
        <w:t>Mit Schreiben vom 14. Februar 2013 wurde der Gesuchstellerin Frist bis am 25. Februar 2013 angesetzt, um Stellung dazu zu nehmen, ob sie mit ihrer Eingabe Beschwerde erheben wolle oder nicht (Urk. 9). Da sich die Gesuchstellerin innert Frist nicht meldete, wurde androhungs- gemäss ihre Eingabe als Beschwerde entgegen genommen und vorliegendes Rechtsmittelverfahren eröffnet.</w:t>
      </w:r>
    </w:p>
    <w:p>
      <w:r>
        <w:rPr>
          <w:b/>
        </w:rPr>
        <w:t>E. 3</w:t>
      </w:r>
    </w:p>
    <w:p>
      <w:r>
        <w:t>a) Die Beschwerde gemäss Art. 319 ff. ZPO hat konkrete Rechtsbegehren zu enthalten, aus denen hervorgeht, in welchem Umfang der vorinstanzliche Ent- scheid angefochten wird. In der Beschwerdebegründung ist sodann insbesondere darzulegen, an welchen Mängeln der angefochtene Entscheid leidet (Freiburg- haus/Afheldt, in: Sutter-Somm/Hasenböhler/Leuenberger, Kommentar zur Schweizerischen Zivilprozessordnung (ZPO), 2. Aufl., Zürich/Basel/Genf 2013, Art. 321 N 14 f.). b) Die Eingabe der Gesuchstellerin ist als Beschwerde unzureichend, da aus ihr weder konkrete Anträge noch eine diesbezügliche Begründung hervorgeht. Auf die Beschwerde ist daher nicht einzutreten.</w:t>
      </w:r>
    </w:p>
    <w:p>
      <w:r>
        <w:t>- 3 -</w:t>
      </w:r>
    </w:p>
    <w:p>
      <w:r>
        <w:rPr>
          <w:b/>
        </w:rPr>
        <w:t>E. 4</w:t>
      </w:r>
    </w:p>
    <w:p>
      <w:r>
        <w:t>a) Die zweitinstanzliche Spruchgebühr ist ausgangsgemäss der Gesuch- stellerin aufzuerlegen (Art. 106 Abs. 1 ZPO). Für deren Bemessung gelangt ge- 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dem Gesuchsgegner und Beschwer- degegner (fortan Gesuchsgegner) für das Beschwerdeverfahren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