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RT130037 vom 5. März 2013</w:t>
      </w:r>
    </w:p>
    <w:p>
      <w:r>
        <w:t>ZH Obergericht, 2013-03-05, DE</w:t>
      </w:r>
    </w:p>
    <w:p>
      <w:r>
        <w:rPr>
          <w:b/>
        </w:rPr>
        <w:t xml:space="preserve">Quelle: </w:t>
      </w:r>
      <w:r>
        <w:t>https://mcp.opencaselaw.ch/entscheid/zh_obergericht_RT130037</w:t>
      </w:r>
    </w:p>
    <w:p>
      <w:r>
        <w:t>FR: ZH_OBERGERICHT RT130037 du 5 mars 2013</w:t>
      </w:r>
    </w:p>
    <w:p>
      <w:r>
        <w:t>IT: ZH_OBERGERICHT RT130037 del 5 marzo 2013</w:t>
      </w:r>
    </w:p>
    <w:p>
      <w:pPr>
        <w:pStyle w:val="Heading2"/>
      </w:pPr>
      <w:r>
        <w:t>Erwägungen</w:t>
      </w:r>
    </w:p>
    <w:p>
      <w:r>
        <w:rPr>
          <w:b/>
        </w:rPr>
        <w:t>E. 1</w:t>
      </w:r>
    </w:p>
    <w:p>
      <w:r>
        <w:t>April 2008 bis 8. September 2011) wies sie das Begehren ab (Urk. 14 S. 6 Dis- positivziffer 1).</w:t>
      </w:r>
    </w:p>
    <w:p>
      <w:r>
        <w:rPr>
          <w:b/>
        </w:rPr>
        <w:t>E. 2</w:t>
      </w:r>
    </w:p>
    <w:p>
      <w:r>
        <w:t>Mit fristgerechter Eingabe vom 14. Februar 2013 erhob der Gesuchsgeg- ner und Beschwerdeführer (fortan Gesuchsgegner) Rekurs (richtigerweise Be- schwerde), mit welchem er sinngemäss die Gutheissung seines Rechtsmittels und die Aufhebung des Urteils vom 17. Januar 2013 beantragte (Urk. 13).</w:t>
      </w:r>
    </w:p>
    <w:p>
      <w:r>
        <w:rPr>
          <w:b/>
        </w:rPr>
        <w:t>E. 3</w:t>
      </w:r>
    </w:p>
    <w:p>
      <w:r>
        <w:t>Mit der Beschwerde können unrichtige Rechtsanwendung und offensicht- lich unrichtige Feststellung des Sachverhalts geltend gemacht werden (Art. 320 ZPO).</w:t>
      </w:r>
    </w:p>
    <w:p>
      <w:r>
        <w:rPr>
          <w:b/>
        </w:rPr>
        <w:t>E. 4</w:t>
      </w:r>
    </w:p>
    <w:p>
      <w:r>
        <w:t>a) Gemäss Art. 326 Abs. 1 ZPO sind im Beschwerdeverfahren neue An- 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und gilt so- wohl für echte wie auch für unechte Noven (Freiburghaus/Afheldt, in: Sutter- Somm/Hasenböhler/Leuenberger, Kommentar zur Schweizerischen Zivilprozess- ordnung (ZPO), 2. Aufl., Zürich/Basel/Genf 2013, Art. 326 N 3 f.). Echte Noven sind neue Tatsachen und Beweismittel, die erst nach Abschluss des erstinstanzli- chen Schriftenwechsels entstanden oder gefunden worden sind. Unechte Noven sind neue Tatsachen und Beweismittel, die bereits vor erster Instanz hätten vor-</w:t>
      </w:r>
    </w:p>
    <w:p>
      <w:r>
        <w:t>- 3 - gebracht werden können (vgl. Leuenberger, in: Sutter-Somm/Hasenböhler/ Leuenberger, a.a.O., Art. 229 N 5 und 8). b) Der Gesuchsgegner macht in seiner Beschwerde geltend, dass das ange- fochtene Urteil vollumfänglich aktenwidrig, rechtswidrig, willkürlich, ungerechtfer- tigt und unhaltbar sei. Er macht in seiner Beschwerdeschrift betreffend die Forde- rung des Gesuchstellers ferner schwer verständliche Ausführungen (vgl. Urk. 13 S. 1 unten und S. 2), welche er jedoch das erste Mal im Beschwerdeverfahren vorbringt, weshalb sie aufgrund Art. 326 Abs. 1 ZPO ohnehin unbeachtlich sind. c) Im Übrigen setzt sich der Gesuchsgegner in seiner Beschwerdeschrift nicht konkret mit den vorinstanzlichen Erwägungen auseinander. So führt er auch nicht weiter aus, wieso der vorinstanzliche Entscheid vollumfänglich aktenwidrig, rechtswidrig, willkürlich, ungerechtfertigt und unhaltbar sein soll. Schliesslich ist in Bezug auf das angefochtene Urteil auch kein Nichtigkeitsgrund ersichtlich. d) Damit erweist sich die Beschwerde als offensichtlich unbegründet. Es kann daher davon abgesehen werden, eine Beschwerdeantwort des Gesuchstel- lers oder eine Stellungnahme der Vorinstanz einzuholen (Art. 322 ZPO, Art. 324 ZPO). Die Beschwerde ist abzuweisen.</w:t>
      </w:r>
    </w:p>
    <w:p>
      <w:r>
        <w:rPr>
          <w:b/>
        </w:rPr>
        <w:t>E. 5</w:t>
      </w:r>
    </w:p>
    <w:p>
      <w:r>
        <w:t>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GebV SchKG auf Fr. 300.– festzusetzen. b) Mangels wesentlicher Umtriebe ist dem Gesuchsteller für das Beschwer- deverfahren keine Entschädigung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