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RT120210 vom 16. Januar 2013</w:t>
      </w:r>
    </w:p>
    <w:p>
      <w:r>
        <w:t>ZH Obergericht, 2013-01-16, DE</w:t>
      </w:r>
    </w:p>
    <w:p>
      <w:r>
        <w:rPr>
          <w:b/>
        </w:rPr>
        <w:t xml:space="preserve">Quelle: </w:t>
      </w:r>
      <w:r>
        <w:t>https://mcp.opencaselaw.ch/entscheid/zh_obergericht_RT120210</w:t>
      </w:r>
    </w:p>
    <w:p>
      <w:r>
        <w:t>FR: ZH_OBERGERICHT RT120210 du 16 janvier 2013</w:t>
      </w:r>
    </w:p>
    <w:p>
      <w:r>
        <w:t>IT: ZH_OBERGERICHT RT120210 del 16 gennaio 2013</w:t>
      </w:r>
    </w:p>
    <w:p>
      <w:pPr>
        <w:pStyle w:val="Heading2"/>
      </w:pPr>
      <w:r>
        <w:t>Erwägungen</w:t>
      </w:r>
    </w:p>
    <w:p>
      <w:r>
        <w:rPr>
          <w:b/>
        </w:rPr>
        <w:t>E. 1</w:t>
      </w:r>
    </w:p>
    <w:p>
      <w:r>
        <w:t>a) Am 20. November 2012 reichte die Beschwerdegegnerin ein Be- gehren um definitive Rechtsöffnung für Fr. 4'872.05 zuzüglich Betreibungskosten von Fr. 80.-- und 5 % Zins auf Fr. 4'852.05 bei der Vorinstanz ein (Urk. 3/4). Mit Verfügung vom 23. November 2012 setzte die Vorinstanz dem Beschwerdeführer eine letztmalige Frist von 14 Tagen zur Einreichung einer schriftlichen Stellung- nahme an (Urk. 2). b) Hiergegen hat der Beschwerdeführer mit Eingabe vom 19. Dezember 2012, zur Post gegeben am 21. Dezember 2012, Beschwerde erhoben (Urk. 1). c) Da sich die Beschwerde auf den ersten Blick als unbegründet bzw. un- zulässig präsentierte, wurde dem Beschwerdeführer Gelegenheit gegeben, auf ein Beschwerdeverfahren zu verzichten (Urk. 4); er hat davon keinen Gebrauch gemacht. d) Die vorinstanzlichen Akten wurden beigezogen. Da sich die Beschwer- de sogleich als offensichtlich unbegründet bzw. unzulässig erweist, kann auf die Einholung einer Beschwerdeantwort verzichtet werden (Art. 322 Abs. 1 ZPO).</w:t>
      </w:r>
    </w:p>
    <w:p>
      <w:r>
        <w:rPr>
          <w:b/>
        </w:rPr>
        <w:t>E. 2</w:t>
      </w:r>
    </w:p>
    <w:p>
      <w:r>
        <w:t>Die angefochtene Verfügung wurde am 26. November 2012 versandt und dem Beschwerdeführer am 10. Dezember 2012 zugestellt (Vi-Urk. 6). Die Frist zur Erhebung der Beschwerde beträgt 10 Tage (Art. 321 Abs. 2 ZPO), was auch von der Vorinstanz in der Rechtsmittelbelehrung (Urk. 2 Dispositiv Ziffer 4) korrekt dargelegt wurde. Die Frist lief demzufolge am 20. Dezember 2012 ab (Art. 142 ZPO). Sie wird eingehalten durch Einreichung der Beschwerde beim Oberge- richt oder durch Postaufgabe an diesem Tag (Art. 143 Abs. 1 ZPO). Die Postauf- gabe der Beschwerde erfolgte am 21. Dezember 2012 (Briefumschlag bei Urk. 1) und die Beschwerde ist am 24. Dezember 2012 beim Obergericht eingegangen (Eingangsstempel auf Urk. 1). Die Beschwerde ist damit verspätet erhoben wor- den. Auf die Beschwerde kann demzufolge nicht eingetreten werden.</w:t>
      </w:r>
    </w:p>
    <w:p>
      <w:r>
        <w:t>- 3 -</w:t>
      </w:r>
    </w:p>
    <w:p>
      <w:r>
        <w:rPr>
          <w:b/>
        </w:rPr>
        <w:t>E. 3</w:t>
      </w:r>
    </w:p>
    <w:p>
      <w:r>
        <w:t>a) Für das Beschwerdeverfahren beträgt der Streitwert Fr. 4'872.05. Die zweitinstanzliche Entscheidgebühr ist in Anwendung von Art. 48 i.V.m. Art. 61 Abs. 1 GebV SchKG (vgl. ZR 110/2011 Nr. 28) auf Fr. 300.– festzusetzen. b) Die Gerichtskosten des Beschwerdeverfahrens sind ausgangsgemäss dem Beschwerdeführer aufzuerlegen (Art. 106 Abs. 1 ZPO). c) Für das Beschwerdeverfahren ist der Beschwerdegegnerin mangels re- levanter Umtriebe keine Parteientschädigung zuzusprechen (vgl. Art. 95 Abs. 3 ZPO), dem Beschwerdeführer nicht, weil er unterliegt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