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RT120201 vom 17. Januar 2013</w:t>
      </w:r>
    </w:p>
    <w:p>
      <w:r>
        <w:t>ZH Obergericht, 2013-01-17, DE</w:t>
      </w:r>
    </w:p>
    <w:p>
      <w:r>
        <w:rPr>
          <w:b/>
        </w:rPr>
        <w:t xml:space="preserve">Quelle: </w:t>
      </w:r>
      <w:r>
        <w:t>https://mcp.opencaselaw.ch/entscheid/zh_obergericht_RT120201</w:t>
      </w:r>
    </w:p>
    <w:p>
      <w:r>
        <w:t>FR: ZH_OBERGERICHT RT120201 du 17 janvier 2013</w:t>
      </w:r>
    </w:p>
    <w:p>
      <w:r>
        <w:t>IT: ZH_OBERGERICHT RT120201 del 17 gennaio 2013</w:t>
      </w:r>
    </w:p>
    <w:p>
      <w:pPr>
        <w:pStyle w:val="Heading2"/>
      </w:pPr>
      <w:r>
        <w:t>Erwägungen</w:t>
      </w:r>
    </w:p>
    <w:p>
      <w:r>
        <w:rPr>
          <w:b/>
        </w:rPr>
        <w:t>E. 1</w:t>
      </w:r>
    </w:p>
    <w:p>
      <w:r>
        <w:t>Mit Urteil vom 5. Dezember 2012 erteilte die Vorinstanz den Gesuchstel- lern und Beschwerdegegnern (fortan Gesuchsteller) in der Betreibung Nr. … des Betreibungsamtes C._____ (Zahlungsbefehl vom 24. April 2012) gestützt auf den rechtskräftigen Einschätzungsentscheid des Steuerkommissärs für die Staats- und Gemeindesteuern 2009 vom 3. Januar 2012 und auf die dazugehörige Schlussrechnung vom 16. Januar 2012 (Urk. 4/2-4, Urk. 4/7 und Urk. 1 S. 2) defi- nitive Rechtsöffnung für Fr. 7'445.20 nebst Zins zu 4,5 % seit 24. April 2012, für Fr. 340.– sowie Fr. 62.35 (Urk. 11 S. 4 Dispositivziffer 1).</w:t>
      </w:r>
    </w:p>
    <w:p>
      <w:r>
        <w:rPr>
          <w:b/>
        </w:rPr>
        <w:t>E. 2</w:t>
      </w:r>
    </w:p>
    <w:p>
      <w:r>
        <w:t>Mit fristgerecht zur Post gegebener Eingabe vom 19. Dezember 2012 er- hob der Gesuchsgegner und Beschwerdeführer (fortan Gesuchsgegner) Einspra- che, womit er die Aufhebung des obgenannten Urteils verlangt (Urk. 10).</w:t>
      </w:r>
    </w:p>
    <w:p>
      <w:r>
        <w:rPr>
          <w:b/>
        </w:rPr>
        <w:t>E. 3</w:t>
      </w:r>
    </w:p>
    <w:p>
      <w:r>
        <w:t>Mit der Beschwerde (vgl. Urk. 11 S. 4 Dispositivziffer 5) können unrichtige Rechtsanwendung und offensichtlich unrichtige Feststellung des Sachverhalts geltend gemacht werden (Art. 320 ZPO).</w:t>
      </w:r>
    </w:p>
    <w:p>
      <w:r>
        <w:rPr>
          <w:b/>
        </w:rPr>
        <w:t>E. 4</w:t>
      </w:r>
    </w:p>
    <w:p>
      <w:r>
        <w:t>a) Der Gesuchsgegner macht in seiner Beschwerdeschrift vom 19. De- zember 2012 geltend, dass er Ende 2011 sowie anfangs 2012 mit dem Steueramt B._____ mehrere Telefonate betreffend sein Einkommen im Jahre 2009 geführt habe. Auch habe er dem zuständigen Steuerkommissär mehrmals telefonisch mitgeteilt, dass er ohne Beweislast nicht einfach Fr. 30'000.– als Einkommen da- zurechnen dürfe (unter Hinweis auf Urk. 12/I). Im Jahre 2009 sei die Firma, bei welcher er angestellt gewesen sei, von der Finanzmarktaufsicht geschlossen worden. In der Folge sei allen Mitarbeitern per 14. Juli 2009 gekündigt worden (unter Hinweis auf Urk. 12/II). Es sei nachweislich, dass er ab Juli 2009 weder von der Arbeitslosenkasse, vom Sozialamt oder irgendeiner Versicherung noch von einem anderen Arbeitgeber habe Einkommen generieren können. Somit seien die Fr. 30'000.–, die der Steuerkommissär dazu gerechnet habe, ungerechtfertigt und willkürlich erfolgt. Auch nach der Zustellung der Veranlagungsverfügung habe er sowohl telefonisch wie auch schriftlich Einsprache erhoben. Leider habe er die schriftliche Einsprache nicht eingeschrieben geschickt. Es könne aber in einem Rechtsstaat nicht sein, dass der Staat, vertreten durch das Steueramt, ungerecht- fertigt Einnahmen generieren wolle (Urk. 10).</w:t>
      </w:r>
    </w:p>
    <w:p>
      <w:r>
        <w:t>- 3 - b) Vorliegend ist vollumfänglich auf die zutreffenden Erwägungen der Vor- derrichterin zu verweisen (vgl. Urk. 11 S. 2 ff.). Der Gesuchsgegner unterlässt es, im Beschwerdeverfahren konkret auszuführen, wieso die vorinstanzlichen Erwä- gungen falsch seien. Er macht erneut geltend, dass der der Rechtsöffnung zu- grunde liegende Forderungstitel auf einer falschen Grundlage beruhe. Zu betonen ist diesbezüglich, dass im Rechtsöffnungsverfahren einzig darüber entschieden wird, ob die durch den Rechtsvorschlag gehemmte Betreibung weitergeführt wer- den darf oder nicht. Insbesondere kann die sachliche Richtigkeit des der Rechts- öffnung zugrunde liegenden Entscheids nicht mehr überprüft werden. Die vorin- stanzliche Rechtsöffnungsrichterin durfte daher die im Einschätzungsentscheid des Steuerkommissärs für die Staats- und Gemeindesteuern 2009 vom 3. Januar 2012 sowie in der dazugehörigen Schlussrechnung vom 16. Januar 2012 (Urk. 4/2-3) festgelegte und in Rechtskraft (vgl. Urk. 1 S. 2, Urk. 4/4 und Urk. 4/7) erwachsene Verpflichtung zur Bezahlung der Staats- und Gemeindesteuern 2009 von Fr. 7'785.20 nicht nochmals selber überprüfen. Dass der Einschätzungsent- scheid vom 3. Januar 2012 nicht in Rechtskraft erwachsen sei, konnte der Ge- suchsgegner sodann nicht glaubhaft machen (vgl. dazu die zutreffenden Erwä- gungen der Vorinstanz in Urk. 11 S. 2 f. Ziff. 2.2). So gelang es ihm nicht zu bele- gen, dass seine geltend gemachte schriftliche Einsprache bei den Gesuchstellern eingetroffen sei. Sodann genügte eine mündliche Einsprache gemäss Rechtsmit- telbelehrung des Einschätzungsentscheids vom 3. Januar 2012 nicht, wurde dort doch explizit darauf hingewiesen, dass eine Einsprache schriftlich zu erfolgen ha- be (vgl. Urk. 4/3 S. 2). c) Der Gesuchsgegner reicht als Beweismittel im Beschwerdeverfahren Ko- pien der Berechnungsmitteilung der Staats- und Gemeindesteuern 2009 (Urk. 12/I) und der Kündigung des Arbeitsvertrages vom 31. Juli 2009 (Urk. 12/II) ein.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w:t>
      </w:r>
    </w:p>
    <w:p>
      <w:r>
        <w:t>- 4 - 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Sutter-Somm/Hasenböhler/Leuenberger, a.a.O., Art. 229 N 5 und 8). Der Gesuchsgegner reicht die genannten Urkunden erstmals im Beschwer- deverfahren ein (vgl. dazu Urk. 1 bis 9), weshalb sie vorliegend aufgrund Art. 326 ZPO nicht zu beachten sind. Sie hätten am Entscheid aber auch nichts geändert, da der Rechtsöffnungsrichter – wie erwähnt – nicht befugt ist, einen in Rechtskraft erwachsenen Entscheid erneut zu überprüfen. d) Damit erweist sich die Beschwerde als offensichtlich unbegründet. Es kann daher davon abgesehen werden, eine Beschwerdeantwort der Gesuchstel- ler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den Gesuchstellern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