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RT120198 vom 25. März 2013</w:t>
      </w:r>
    </w:p>
    <w:p>
      <w:r>
        <w:t>ZH Obergericht, 2013-03-25, DE</w:t>
      </w:r>
    </w:p>
    <w:p>
      <w:r>
        <w:rPr>
          <w:b/>
        </w:rPr>
        <w:t xml:space="preserve">Quelle: </w:t>
      </w:r>
      <w:r>
        <w:t>https://mcp.opencaselaw.ch/entscheid/zh_obergericht_RT120198</w:t>
      </w:r>
    </w:p>
    <w:p>
      <w:r>
        <w:t>FR: ZH_OBERGERICHT RT120198 du 25 mars 2013</w:t>
      </w:r>
    </w:p>
    <w:p>
      <w:r>
        <w:t>IT: ZH_OBERGERICHT RT120198 del 25 marzo 2013</w:t>
      </w:r>
    </w:p>
    <w:p>
      <w:pPr>
        <w:pStyle w:val="Heading2"/>
      </w:pPr>
      <w:r>
        <w:t>Erwägungen</w:t>
      </w:r>
    </w:p>
    <w:p>
      <w:r>
        <w:rPr>
          <w:b/>
        </w:rPr>
        <w:t>E. 1</w:t>
      </w:r>
    </w:p>
    <w:p>
      <w:r>
        <w:t>Mit Urteil vom 29. November 2012 erteilte die Vorinstanz der Klägerin [recte: Gesuchstellerin] und Beschwerdegegnerin (fortan Gesuchstellerin) in der Betreibung Nr. ... des Betreibungsamtes C._____ (Zahlungsbefehl vom 2. Februar 2012) gestützt auf das rechtskräftige Urteil des Arbeitsgerichts Genf vom 2. Mai 2008 für ausstehenden Lohn definitive Rechtsöffnung für Fr. 4'000.–. Im Mehrbe- trag wies sie das Begehren der Gesuchstellerin ab, soweit sie darauf eintrat. Die Kosten des Verfahrens wurden zu 4/7 der Gesuchstellerin und zu 3/7 der Beklag- ten [recte: Gesuchsgegnerin] und Beschwerdeführerin (fortan Gesuchsgegnerin) auferlegt; Parteientschädigungen wurden keine zugesprochen (Urk. 15 S. 4 .f).</w:t>
      </w:r>
    </w:p>
    <w:p>
      <w:r>
        <w:rPr>
          <w:b/>
        </w:rPr>
        <w:t>E. 2</w:t>
      </w:r>
    </w:p>
    <w:p>
      <w:r>
        <w:t>Aufl., Zürich/Basel/Genf 2013, Art. 321 N 15), d.h. die Beschwerde führende Partei hat präzise darzulegen, an welchen Mängeln (unrichtige Rechtsanwen- dung, offensichtlich unrichtige Feststellung des Sachverhalts) der angefochtene</w:t>
      </w:r>
    </w:p>
    <w:p>
      <w:r>
        <w:t>- 3 - Entscheid ihrer Ansicht nach leidet. Was nicht gerügt wird, hat Bestand. Werden keine, unzulässige oder ungenügende Rügen erhoben, stellt dies einen nicht be- hebbaren Mangel dar (vgl. Art. 132 ZPO), d.h. ist nicht eine Nachfrist zur ergän- zenden Begründung anzusetzen, sondern ist die Beschwerde abzuweisen. 3.2.2 Die Gesuchsgegnerin wiederholt beschwerdeweise, dass die D._____ Filiale lediglich ein Profitcenter gewesen sei und das Urteil des Arbeitsgerichts Genf ihrer Meinung nach falsch sei (Prot. I S. 3f.). Indes setzt sie sich mit den Er- wägungen der Vorinstanz, wonach das Urteil des Arbeitsgerichts Genf vom 2. Mai 2008 unbestrittenermassen in Rechtskraft erwachsen sei, die von der Gesuchs- gegnerin vorgebrachte Einwendung der fehlenden örtlichen Zuständigkeit des Ar- beitsgerichts Genf kein Nichtigkeitsgrund darstelle, weshalb der Entscheid nach Eintritt der Rechtskraft trotz allenfalls fehlender örtlicher Zuständigkeit gültig sei, und es dem Rechtsöffnungsrichter nicht zustehe, rechtskräftige Entscheide auf ih- re inhaltliche Richtigkeit zu überprüfen (Urk. 15 S. 3), nicht auseinander. Nach- dem die Gesuchsgegnerin vor Vorinstanz selber ausgeführt hatte, dass sie das Urteil des Arbeitsgerichts Genf vom 2. Mai 2008 nicht weitergezogen habe, und eine entsprechende Rechtskraftsbescheinigung vorliegt (Prot. I S. 4; Urk. 5/2-3), ging die Vorinstanz denn auch zu Recht von einem gültigen Rechtsöffnungstitel aus. 3.3 Damit erweist sich die Beschwerde als offensichtlich unbegründet bzw. unzulässig, weshalb auf das Einholen einer Beschwerdeantwort der Gegenpartei verzichtet werden kann (Art. 322 Abs. 1 ZPO). Die Beschwerde ist abzuweisen. 4.1 Die Entscheidgebühr für das Beschwerdeverfahren ist in Anwendung von Art. 48 i.V.m. Art. 61 Abs. 1 GebV SchKG (vgl. ZR 110/2011 Nr. 28) auf Fr. 300.– festzusetzen. Die Gerichtskosten sind ausgangsgemäss der Gesuchs- gegnerin aufzuerlegen (Art. 106 Abs. 1 ZPO). 4.2 Der Gesuchstellerin ist mangels relevanter Umtriebe im Beschwerde- verfahren keine Parteientschädigung zuzusprechen (vgl. Art. 95 Abs. 3 ZPO).</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