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RT120183 vom 14. Dezember 2012</w:t>
      </w:r>
    </w:p>
    <w:p>
      <w:r>
        <w:t>ZH Obergericht, 2012-12-14, DE</w:t>
      </w:r>
    </w:p>
    <w:p>
      <w:r>
        <w:rPr>
          <w:b/>
        </w:rPr>
        <w:t xml:space="preserve">Quelle: </w:t>
      </w:r>
      <w:r>
        <w:t>https://mcp.opencaselaw.ch/entscheid/zh_obergericht_RT120183</w:t>
      </w:r>
    </w:p>
    <w:p>
      <w:r>
        <w:t>FR: ZH_OBERGERICHT RT120183 du 14 décembre 2012</w:t>
      </w:r>
    </w:p>
    <w:p>
      <w:r>
        <w:t>IT: ZH_OBERGERICHT RT120183 del 14 dicembre 2012</w:t>
      </w:r>
    </w:p>
    <w:p>
      <w:pPr>
        <w:pStyle w:val="Heading2"/>
      </w:pPr>
      <w:r>
        <w:t>Erwägungen</w:t>
      </w:r>
    </w:p>
    <w:p>
      <w:r>
        <w:rPr>
          <w:b/>
        </w:rPr>
        <w:t>E. 26</w:t>
      </w:r>
    </w:p>
    <w:p>
      <w:r>
        <w:t>April 2012 für eine ausstehende Busse inklusive Spruch-, Schreib- und Vorla- dungsgebühren definitive Rechtsöffnung für Fr. 449.– nebst 5% Zins seit 11. Juni 2012 auf den Betrag von Fr. 249.–. Die Kosten- und Entschädigungsfolgen wur- den zu Lasten des Gesuchsgegners und Beschwerdeführers (fortan Gesuchs- gegner) geregelt (Urk. 10 S. 3). 1.2 Hiergegen hat der Gesuchsgegner mit Schreiben vom 14. November 2012 (gleichentags zur Post gegeben, eingegangen am 16. November 2012) in- nert Frist rechtzeitig Rekurs (recte: Beschwerde) erhoben (Urk. 9). 2.1 Mit der Beschwerde können unrichtige Rechtsanwendung und offen- sichtlich unrichtige Feststellung des Sachverhalts geltend gemacht werden (Art. 320 ZPO). Vorab aber hat die Beschwerdeschrift konkrete Rechtsbegehren zu enthalten – worauf schon in der vorinstanzlichen Rechtsmittelbelehrung hin- gewiesen wurde (Urk. 10 S. 3 Dispositivziffer 5) –, aus denen eindeutig hervor- geht, in welchem Umfang der vorinstanzliche Entscheid angefochten wird. 2.2 Diesen formellen Anforderungen vermag die Beschwerdeschrift des Gesuchsgegners nicht zu genügen. Sie enthält keine expliziten Rechtsbegehren und lässt offen, ob das Dispositiv des angefochtenen Entscheids als Ganzes oder allenfalls nur in Teilen aufzuheben sei. 2.3 Auf die Beschwerde ist daher nicht einzutreten, ohne dass eine Nach- frist anzusetzen wäre (Reetz/Theiler in: Sutter-Somm/Hasenböhler/Leuenberger, ZPO-Komm., N 34 f. zu Art. 311 ZPO i.V.m. N 14 zu Art. 321 ZPO). 2.4 Aber auch wenn auf die Beschwerde einzutreten gewesen wäre, hätte sie abgewiesen werden müssen. Im Beschwerdeverfahren gilt das Rügeprinzip (Freiburghaus/Afheldt in: Sutter-Somm/Hasenböhler/Leuenberger, a.a.O., N 15 zu</w:t>
      </w:r>
    </w:p>
    <w:p>
      <w:r>
        <w:t>- 3 - Art. 321), d.h. die Beschwerde führende Partei hat im Einzelnen darzulegen, an welchen Mängeln (unrichtige Rechtsanwendung, offensichtlich unrichtige Feststel- lung des Sachverhalts) der angefochtene Entscheid ihrer Ansicht nach leidet. Der Gesuchsgegner setzt sich jedoch in seiner Beschwerdeschrift mit den vorinstanzlichen Erwägungen in keiner Weise auseinander. Er verlangt einen Prozess mit Gegenüberstellungen, Tatortbesichtigungen und psychische Hilfe für die Täter. Zum Einen handelt es sich dabei um Noven, welche aufgrund des im Beschwerdeverfahren geltenden strikten Novenverbots nicht mehr vorgebracht werden können. Der Gesuchsgegner ist vor Vorinstanz nicht erschienen (Prot. I S. 3), macht aber auch zu Recht nicht geltend, vom vorinstanzlichen Verfahren keine Kenntnis gehabt zu haben, hat er die Vorladung doch entgegengenommen (Urk. 5; Urk. 12). Damit ist er im Beschwerdeverfahren mit neuen Behauptungen ausgeschlossen und auch die von ihm neu eingereichten Unterlagen bleiben un- beachtlich. Zum Anderen ist der Gesuchsgegner darauf hinzuweisen, dass im Rechtsöffnungsverfahren nicht die Begründetheit einer Forderung geprüft wird – hierfür ist er auf das ordentliche Verfahren zu verweisen –, sondern, ob die Voraussetzungen für eine (vorliegend) definitive Rechtsöffnung erfüllt sind. Dies hat die Vorinstanz dargelegt (Urk. 10 S. 2 Erw. 2), worauf zwecks Vermeidung unnötiger Wiederholungen verwiesen werden kann. Jene Erwägungen sind denn auch – zu Recht – ungerügt geblieben. Lediglich der Vollständigkeit halber sei noch erwähnt, dass der Gesuchs- gegner vor dem Stadtrichter Gelegenheit zur Einvernahme und damit zum Verfah- ren gehabt hatte, hat er doch selber Einsprache gegen die Verfügung vom 7. Ok- tober 2010 erhoben (Urk. 4/2). Nimmt er diese Gelegenheit nicht wahr, hat es damit sein Bewenden (Urk. 4/3. Entsprechend ist das Verfahren vor dem Stadt- richteramt abgeschlossen. Mangels konkreter Rügen würde es damit auch dann beim vorinstanzlichen Entscheid bleiben, wenn auf die Beschwerde einzutreten gewesen wäre.</w:t>
      </w:r>
    </w:p>
    <w:p>
      <w:r>
        <w:t>- 4 - 3. Damit erweist sich die Beschwerde sogleich als offensichtlich unbe- gründet bzw. unzulässig, weshalb auf das Einholen einer Beschwerdeantwort der Gegenpartei verzichtet werden kann (Art. 322 Abs. 1 ZPO). 4.1 Die Entscheidgebühr für das Beschwerdeverfahren ist in Anwendung von Art. 48 i.V.m. Art. 61 Abs. 1 GebV SchKG (vgl. ZR 110/2011 Nr. 28) auf Fr. 150.– festzusetzen. Die Gerichtskosten sind ausgangsgemäss dem Gesuchs- gegner aufzuerlegen (Art. 106 Abs. 1 ZPO). 4.2 Der Gesuchsgegner hat – bei wohlwollender Auslegung – sinngemäss ein Gesuch um unentgeltliche Rechtspflege gestellt (Urk. 9). Dieses ist jedoch zu- folge Aussichtslosigkeit der Beschwerde (vgl. vorstehende Erwägungen) abzu- weisen (Art. 117 lit. b ZPO). 4.3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