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RT120180 vom 18. Januar 2013</w:t>
      </w:r>
    </w:p>
    <w:p>
      <w:r>
        <w:t>ZH Obergericht, 2013-01-18, DE</w:t>
      </w:r>
    </w:p>
    <w:p>
      <w:r>
        <w:rPr>
          <w:b/>
        </w:rPr>
        <w:t xml:space="preserve">Quelle: </w:t>
      </w:r>
      <w:r>
        <w:t>https://mcp.opencaselaw.ch/entscheid/zh_obergericht_RT120180</w:t>
      </w:r>
    </w:p>
    <w:p>
      <w:r>
        <w:t>FR: ZH_OBERGERICHT RT120180 du 18 janvier 2013</w:t>
      </w:r>
    </w:p>
    <w:p>
      <w:r>
        <w:t>IT: ZH_OBERGERICHT RT120180 del 18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und Verfügung vom 31. Oktober 2012 (Urk. 18 = Urk. 24) wies die Vorinstanz das Sistierungsgesuch der Beklagten ab. Sodann erteilte die Vorinstanz der Klägerin in der Betreibung Nr. … des Betreibungsamts C._____ (Zahlungsbefehl vom 23. Dezember 2011) – gestützt auf ein Schiedsur- teil der International Chamber of Commerce vom 9. August 2010 – definitive Rechtsöffnung für Fr. 13'226'900.--, Fr. 3'448'260.-- und Fr. 25'563'984.--; im Mehrbetrag wurde das Begehren abgewiesen (Disp.-Ziff. 1). Die Gerichtskosten wurden der Beklagten auferlegt (Disp.-Ziff. 2) und diese wurde verpflichtet, der Klägerin eine Parteientschädigung von Fr. 55'000.-- zu bezahlen (Disp.-Ziff. 3). b) Hiergegen haben beide Parteien am 16. November 2012 fristgerecht Beschwerde erhoben, wobei diejenige der Klägerin unter vorliegender Prozess- Nummer und diejenige der Beklagten unter der Prozess-Nummer RT120179 an- gelegt wurde. Die Klägerin stellt die Beschwerdeanträge (Urk. 23 ): "1. Es sei Satz 2 von Dispositiv-Ziff. 1 des Entscheides des Bezirksgerichts Zürich, Einzelgericht Audienz, vom 31. Oktober 2012, Geschäftsnum- mer EB120866-L/U, lautend "Im Mehrbetrag wird das Begehren abge- wiesen.", aufzuheben und der Beschwerdeführerin in der Betreibung Nr. …, Betreibungsamt C._____, Zahlungsbefehl vom 23. Dezember 2011, auf für folgende Beträge die definitive Rechtsöffnung zu erteilen: – Zins von 1.5% p.a. auf CHF 13'226'900 seit 22.12.2011 – Zins von 1.5% p.a. auf CHF 3'448'260 seit 22.12.2011 – Zins von 1.5% p.a. CHF 25'563'984 seit 22.12.2011 – CHF 2'110'449.50 (aufgelaufener Zins bis zum 21.12.2011);</w:t>
      </w:r>
    </w:p>
    <w:p>
      <w:r>
        <w:rPr>
          <w:b/>
        </w:rPr>
        <w:t>E. 2</w:t>
      </w:r>
    </w:p>
    <w:p>
      <w:r>
        <w:t>Eventualiter sei Satz 2 von Dispositiv Ziff. 1 des Entscheides des Be- zirksgerichts Zürich, Einzelgericht Audienz, vom 31. Oktober 2012, Ge- schäftsnummer EB120866-L/U, lautend "Im Mehrbetrag wird das Be- gehren abgewiesen.", aufzuheben und das Verfahren zur neuen Ent- scheidung an das Bezirksgericht zurückzuweisen.</w:t>
      </w:r>
    </w:p>
    <w:p>
      <w:r>
        <w:rPr>
          <w:b/>
        </w:rPr>
        <w:t>E. 3</w:t>
      </w:r>
    </w:p>
    <w:p>
      <w:r>
        <w:t>Für das Beschwerdeverfahren beträgt der Streitwert rund Fr. 2.5 Mio. Die zweitinstanzliche Entscheidgebühr ist in Anwendung von Art. 48 i.V.m. Art. 61 Abs. 1 GebV SchKG (vgl. ZR 110/2011 Nr. 28) auf Fr. 1'500.– festzusetzen. Die Gerichtskosten sind den Parteien vereinbarungsgemäss je zur Hälfte aufzuerle- gen und unter Verrechnung mit den von ihnen in beiden Beschwerdeverfahren geleisteten Kostenvorschüssen zu beziehen (Art. 111 Abs. 1 ZPO). Vom verein- barungsgemässen Verzicht auf Parteientschädigung ist Vormerk zu nehmen.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