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RT120179 vom 18. Januar 2013</w:t>
      </w:r>
    </w:p>
    <w:p>
      <w:r>
        <w:t>ZH Obergericht, 2013-01-18, DE</w:t>
      </w:r>
    </w:p>
    <w:p>
      <w:r>
        <w:rPr>
          <w:b/>
        </w:rPr>
        <w:t xml:space="preserve">Quelle: </w:t>
      </w:r>
      <w:r>
        <w:t>https://mcp.opencaselaw.ch/entscheid/zh_obergericht_RT120179</w:t>
      </w:r>
    </w:p>
    <w:p>
      <w:r>
        <w:t>FR: ZH_OBERGERICHT RT120179 du 18 janvier 2013</w:t>
      </w:r>
    </w:p>
    <w:p>
      <w:r>
        <w:t>IT: ZH_OBERGERICHT RT120179 del 18 gennaio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und Verfügung vom 31. Oktober 2012 (Urk. 18 = Urk. 24) wies die Vorinstanz das Sistierungsgesuch der Beklagten ab. Sodann erteilte die Vorinstanz der Klägerin in der Betreibung Nr. … des Betreibungsamts C._____ (Zahlungsbefehl vom 23. Dezember 2011) – gestützt auf ein Schiedsur- teil der International Chamber of Commerce vom 9. August 2010 – definitive Rechtsöffnung für Fr. 13'226'900.--, Fr. 3'448'260.-- und Fr. 25'563'984.--; im Mehrbetrag wurde das Begehren abgewiesen (Disp.-Ziff. 1). Die Gerichtskosten wurden der Beklagten auferlegt (Disp.-Ziff. 2) und diese wurde verpflichtet, der Klägerin eine Parteientschädigung von Fr. 55'000.-- zu bezahlen (Disp.-Ziff. 3). b) Hiergegen haben beide Parteien am 16. November 2012 fristgerecht Beschwerde erhoben, wobei diejenige der Beklagten unter vorliegender Prozess- Nummer und diejenige der Klägerin unter der Prozess-Nummer RT120180 ange- legt wurde. Die Beklagte stellt die Beschwerdeanträge (Urk. 23 ): "1. Das Urteil und die Verfügung vom 31. Oktober 2012 des Bezirksge- richts Zürich (Einzelgericht Audienz) bzw. die definitive Rechtsöffnung erteilt in Betreibung Nr. …, Betreibungsamt C._____, Zahlungsbefehl vom 23. Dezember 2011, sei aufzuheben.</w:t>
      </w:r>
    </w:p>
    <w:p>
      <w:r>
        <w:rPr>
          <w:b/>
        </w:rPr>
        <w:t>E. 2</w:t>
      </w:r>
    </w:p>
    <w:p>
      <w:r>
        <w:t>Betreffend die von der Klägerin verlangte inzidente Anerkennung und Vollstreckbarerklärung: (i) "Das Rechtsöffnungsgesuch bzw. das Rechtsbegehren der Ge- suchstellerin, welches diese mit Eingabe vom 13. Juni 2012 ge- stellt hat, sei abzuweisen. Eventuell: Das vorliegende Rechtsöffnungsverfahren bzw. die inzidente Anerkennung und Vollstreckbarerklärung des ICC Schiedsurteils vom 9. August 2010 sei bis zum Vorliegen einer definitiven Entscheidung im … Rechtsmittelverfahren [des Staates D._____] zu sistieren. Sub-eventuell: Das vorliegende Rechtsöffnungsverfahren bzw. die inzidente Anerkennung und Vollstreckbarerklärung des ICC Schiedsurteils vom 9. August 2010 sei, gegen Stellung einer ent- sprechenden Sicherheit, bis zum Vorliegen einer definitiven Ent- scheidung im … Rechtsmittelverfahren [des Staates D._____] zu sistieren. (ii) Alles unter Kosten- und Entschädigungsfolgen (zuzüglich Mehr- wertsteuer) zu Lasten der Gesuchstellerin."</w:t>
      </w:r>
    </w:p>
    <w:p>
      <w:r>
        <w:rPr>
          <w:b/>
        </w:rPr>
        <w:t>E. 3</w:t>
      </w:r>
    </w:p>
    <w:p>
      <w:r>
        <w:t>Für das Beschwerdeverfahren beträgt der Streitwert rund Fr. 42 Mio. Die zweitinstanzliche Entscheidgebühr ist in Anwendung von Art. 48 i.V.m. Art. 61 Abs. 1 GebV SchKG (vgl. ZR 110/2011 Nr. 28) auf Fr. 1'500.– festzusetzen. Die Gerichtskosten sind den Parteien vereinbarungsgemäss je zur Hälfte aufzuerle- gen und unter Verrechnung mit den von ihnen in beiden Beschwerdeverfahren geleisteten Kostenvorschüssen zu beziehen (Art. 111 Abs. 1 ZPO). Vom verein- barungsgemässen Verzicht auf Parteientschädigung ist Vormerk zu nehmen.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