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RT120177 vom 14. Dezember 2012</w:t>
      </w:r>
    </w:p>
    <w:p>
      <w:r>
        <w:t>ZH Obergericht, 2012-12-14, DE</w:t>
      </w:r>
    </w:p>
    <w:p>
      <w:r>
        <w:rPr>
          <w:b/>
        </w:rPr>
        <w:t xml:space="preserve">Quelle: </w:t>
      </w:r>
      <w:r>
        <w:t>https://mcp.opencaselaw.ch/entscheid/zh_obergericht_RT120177</w:t>
      </w:r>
    </w:p>
    <w:p>
      <w:r>
        <w:t>FR: ZH_OBERGERICHT RT120177 du 14 décembre 2012</w:t>
      </w:r>
    </w:p>
    <w:p>
      <w:r>
        <w:t>IT: ZH_OBERGERICHT RT120177 del 14 dicembre 2012</w:t>
      </w:r>
    </w:p>
    <w:p>
      <w:pPr>
        <w:pStyle w:val="Heading2"/>
      </w:pPr>
      <w:r>
        <w:t>Erwägungen</w:t>
      </w:r>
    </w:p>
    <w:p>
      <w:r>
        <w:rPr>
          <w:b/>
        </w:rPr>
        <w:t>E. 11</w:t>
      </w:r>
    </w:p>
    <w:p>
      <w:r>
        <w:t>Oktober 2011 und 17. Dezember 2011 für ausstehende Prämien definitive Rechtsöffnung für Fr. 5'091.20 nebst 5% Zins seit 25. Juni 2012; die Kosten- und Entschädigungsfolgen wurden zu Lasten der Gesuchsgegnerin und Beschwerde- führerin (fortan Gesuchsgegnerin) geregelt (Urk. 11 S. 5). 1.2 Hiergegen hat die Gesuchsgegnerin nach Zustellung des begründeten Entscheides mit Schreiben vom 12. November 2012 (gleichentags zur Post gege- ben, eingegangen am 13. November 2012) fristgerecht Beschwerde erhoben mit folgenden Beschwerdeanträgen (Urk. 10 S. 1): "1. Das Urteil vom 26.09.2012 sei vollumfänglich aufzuheben. 2. Die Aufhebung und Löschung der Betreibung sei zu verfügen. 3. Alles zu Lasten der unterliegenden Partei." 2. Die Gesuchsgegnerin hält dafür, mit der B._____ keine Verträge abge- schlossen zu haben, was sie dieser mehrfach mitgeteilt habe. Sodann beantragt sie zu prüfen, ob die Unterschrift auf den Verträgen von einem zuständigen Ver- waltungsrat der Gesellschaft stammten. Damit beantragt die Gesuchsgegnerin sinngemäss die Abweisung des Rechtsöffnungsbegehrens. 3.1 Mit der Beschwerde können unrichtige Rechtsanwendung und offen- sichtlich unrichtige Feststellung des Sachverhalts geltend gemacht werden (Art. 320 ZPO). Im Beschwerdeverfahren gilt das Rügeprinzip (Freiburghaus/Af- heldt in: Sutter-Somm/Hasenböhler/Leuenberger, ZPO-Komm., N 15 zu Art. 321 ZPO), d.h. die Beschwerde führende Partei hat im Einzelnen darzulegen, an wel- chen Mängeln (unrichtige Rechtsanwendung, offensichtlich unrichtige Feststel- lung des Sachverhalts) der angefochtene Entscheid ihrer Ansicht nach leidet. Was nicht gerügt wird, hat Bestand. Werden keine, unzulässige oder ungenügen- de Rügen erhoben, stellt dies einen nicht behebbaren Mangel dar (vgl. Art. 132</w:t>
      </w:r>
    </w:p>
    <w:p>
      <w:r>
        <w:t>- 3 - ZPO), d.h. ist nicht eine Nachfrist zur ergänzenden Begründung anzusetzen, son- dern ist die Beschwerde abzuweisen. Sodann sind im Beschwerdeverfahren neue Anträge, neue Tatsachenbehauptungen und neue Beweismittel ausgeschlossen (Art. 326 Abs. 1 ZPO). Dies wird mit dem Charakter der Beschwerde begründet, die sich als ausserordentliches Rechtsmittel im Wesentlichen auf die Rechtskon- trolle beschränkt und nicht das erstinstanzliche Verfahren fortsetzen soll. Das No- venverbot ist umfassend und gilt sowohl für unechte wie auch für echte Noven (Freiburghaus/Afheldt, a.a.O., N 3 f. zu Art. 326 ZPO). 3.2 Die Gesuchsgegnerin ist an der vorinstanzlichen Hauptverhandlung unentschuldigt nicht erschienen (Prot. I S. 3). Sie war mit Schreiben vom 2. Au- gust 2012 zu der auf den 26. September 2012 angesetzten Hauptverhandlung vorgeladen worden (Urk. 3). Diese Vorladung konnte ihr am 6. August 2012 zuge- stellt werden (Urk. 12). Die Gesuchsgegnerin macht denn auch zu Recht nicht geltend, vom Verfahren keine Kenntnis gehabt zu haben. Damit sind ihre Anträge und Behauptungen, wonach sie nie mit der Gesuchstellerin einen Vertrag abge- schlossen habe, neu und mit neuen Behauptungen ist sie im Beschwerdeverfah- ren gemäss voranstehenden Erwägungen ausgeschlossen. Entsprechend sind diese Einwendungen unbeachtlich. Im Weiteren setzt sich die Gesuchsgegnerin mit keinem Wort mit den Erwägungen der Vorinstanz auseinander, weshalb es dabei sein Bewenden hat. 3.3 Die Löschung der Betreibung kann nicht im Rechtsöffnungsverfahren beantragt werden. Dem Schuldner – und damit der Gesuchsgegnerin – stehen im Rechtsöffnungsverfahren lediglich die Einwendungen gemäss Art. 81 SchKG (Til- gung, Stundung, Verjährung) zur Verfügung. 3.4 Damit erweist sich die Beschwerde sogleich als offensichtlich unbe- 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w:t>
      </w:r>
    </w:p>
    <w:p>
      <w:r>
        <w:t>- 4 - Fr. 300.– festzusetzen. Die Gerichtskosten sind ausgangsgemäss der Gesuchs- gegnerin aufzuerlegen (Art. 106 Abs. 1 ZPO). 4.2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