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RT120175 vom 15. November 2012</w:t>
      </w:r>
    </w:p>
    <w:p>
      <w:r>
        <w:t>ZH Obergericht, 2012-11-15, DE</w:t>
      </w:r>
    </w:p>
    <w:p>
      <w:r>
        <w:rPr>
          <w:b/>
        </w:rPr>
        <w:t xml:space="preserve">Quelle: </w:t>
      </w:r>
      <w:r>
        <w:t>https://mcp.opencaselaw.ch/entscheid/zh_obergericht_RT120175</w:t>
      </w:r>
    </w:p>
    <w:p>
      <w:r>
        <w:t>FR: ZH_OBERGERICHT RT120175 du 15 novembre 2012</w:t>
      </w:r>
    </w:p>
    <w:p>
      <w:r>
        <w:t>IT: ZH_OBERGERICHT RT120175 del 15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30. Oktober 2012 wies die Vorinstanz das Rechtsöffnungs- begehren der Gesuchstellerin und Beschwerdeführerin (fortan Gesuchstellerin) in der Betreibung Nr. … des Betreibungsamtes C._____ (Zahlungsbefehl vom 20. September 2012) ab (Urk. 10 S. 3 Dispositivziffer 1).</w:t>
      </w:r>
    </w:p>
    <w:p>
      <w:r>
        <w:rPr>
          <w:b/>
        </w:rPr>
        <w:t>E. 2</w:t>
      </w:r>
    </w:p>
    <w:p>
      <w:r>
        <w:t>Mit fristgerechter Eingabe vom 9. November 2012 erhob die Gesuchstel- lerin Beschwerde gegen das obgenannte Urteil mit dem sinngemässen Antrag, das angefochtene Urteil sei aufzuheben und die Rechtsöffnung sei wie erstin- stanzlich beantragt zu erteilen (Urk. 9).</w:t>
      </w:r>
    </w:p>
    <w:p>
      <w:r>
        <w:rPr>
          <w:b/>
        </w:rPr>
        <w:t>E. 3</w:t>
      </w:r>
    </w:p>
    <w:p>
      <w:r>
        <w:t>Die Gesuchstellerin bringt in ihrer Beschwerdeschrift vor, dass am</w:t>
      </w:r>
    </w:p>
    <w:p>
      <w:r>
        <w:rPr>
          <w:b/>
        </w:rPr>
        <w:t>E. 5</w:t>
      </w:r>
    </w:p>
    <w:p>
      <w:r>
        <w:t>a) Die zweitinstanzliche Spruchgebühr ist ausgangsgemäss der Gesuch- stellerin aufzuerlegen (Art. 106 Abs. 1 ZPO). Für deren Bemessung gelangt ge-</w:t>
      </w:r>
    </w:p>
    <w:p>
      <w:r>
        <w:t>- 4 - mäss Praxis der Kammer die Gebührenverordnung zum Bundesgesetz über Schuldbetreibung und Konkurs (GebV SchKG; SR 281.35) zur Anwendung (Art. 16 SchKG; ZR 110 (2011) Nr. 28). Die Spruchgebühr ist gestützt auf Art. 48 GebV SchKG auf Fr. 300.– festzusetzen. b) Mangels wesentlicher Umtriebe ist dem Gesuchsgegner für das Be- 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