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RT120168 vom 21. November 2012</w:t>
      </w:r>
    </w:p>
    <w:p>
      <w:r>
        <w:t>ZH Obergericht, 2012-11-21, DE</w:t>
      </w:r>
    </w:p>
    <w:p>
      <w:r>
        <w:rPr>
          <w:b/>
        </w:rPr>
        <w:t xml:space="preserve">Quelle: </w:t>
      </w:r>
      <w:r>
        <w:t>https://mcp.opencaselaw.ch/entscheid/zh_obergericht_RT120168</w:t>
      </w:r>
    </w:p>
    <w:p>
      <w:r>
        <w:t>FR: ZH_OBERGERICHT RT120168 du 21 novembre 2012</w:t>
      </w:r>
    </w:p>
    <w:p>
      <w:r>
        <w:t>IT: ZH_OBERGERICHT RT120168 del 21 novembre 2012</w:t>
      </w:r>
    </w:p>
    <w:p>
      <w:pPr>
        <w:pStyle w:val="Heading2"/>
      </w:pPr>
      <w:r>
        <w:t>Erwägungen</w:t>
      </w:r>
    </w:p>
    <w:p>
      <w:r>
        <w:rPr>
          <w:b/>
        </w:rPr>
        <w:t>E. 1</w:t>
      </w:r>
    </w:p>
    <w:p>
      <w:r>
        <w:t>a) Mit Urteil vom 10. Oktober 2012 wies die Vorinstanz das Begeh- ren des Beschwerdeführers um provisorische Rechtsöffnung in der Betreibung Nr. … des Betreibungsamts C._____ (Zahlungsbefehl vom 15. Februar 2012) für Fr. 71'400.-- nebst 12 % Zins seit 1. Februar 2012 ab; die Kostenfolgen wurden zu Lasten des Beschwerdeführers geregelt (Urk. 31). b) Hiergegen hat der Beschwerdeführer am 29. Oktober 2012 fristgerecht Beschwerde erhoben und stellt die Beschwerdeanträge (Urk. 30 S. 6): "1. Die Beschwerde wird gutgeheissen.</w:t>
      </w:r>
    </w:p>
    <w:p>
      <w:r>
        <w:rPr>
          <w:b/>
        </w:rPr>
        <w:t>E. 1.1</w:t>
      </w:r>
    </w:p>
    <w:p>
      <w:r>
        <w:t>Das Urteil des Bezirksgerichts Horgen vom 10. Oktober 2012 wird daher aufgehoben.</w:t>
      </w:r>
    </w:p>
    <w:p>
      <w:r>
        <w:rPr>
          <w:b/>
        </w:rPr>
        <w:t>E. 1.2</w:t>
      </w:r>
    </w:p>
    <w:p>
      <w:r>
        <w:t>Das Begehren um provisorische Rechtsöffnung in der Betreibung Nr. …, Betreibungsamt C._____, wird vollumfänglich gutgeheis- sen.</w:t>
      </w:r>
    </w:p>
    <w:p>
      <w:r>
        <w:rPr>
          <w:b/>
        </w:rPr>
        <w:t>E. 2</w:t>
      </w:r>
    </w:p>
    <w:p>
      <w:r>
        <w:t>a) Die Vorinstanz wies das Rechtsöffnungsbegehren mit drei Alter- nativbegründungen ab. Erstens liege kein genügender provisorischer Rechtsöff- nungstitel vor. Der Beschwerdeführer berufe sich hierfür auf die von der Beklag- ten unterzeichnete "Ricevuta" vom 6. März 2008 über CHF 200'000.-- (Urk. 33/ 20/C). Aus dieser Urkunde ergebe sich jedoch kein Berechtigter und auch die vom Beschwerdeführer eingereichte Korrespondenz vermöge diesen Mangel nicht zu heilen (Urk. 31 S. 3-6). Zweitens sei die Fälligkeit der behaupteten Forde- rung im Zeitpunkt der Einleitung der Betreibung nicht erstellt, denn der Beschwer- deführer habe keine substantiierten Behauptungen zur Kündigung aufgestellt (Urk. 31 S. 6 f.). Und drittens müsste sich die Forderungssumme aus der Schuld- anerkennung ergeben oder einfach bestimmbar sein; die vom Beschwerdeführer hierzu aufgestellten Berechnungen seien nicht nachvollziehbar bzw. zuwenig substantiiert (Urk. 31 S. 7-9).</w:t>
      </w:r>
    </w:p>
    <w:p>
      <w:r>
        <w:t>- 3 -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Was im erstinstanzlichen Verfahren nicht vor- getragen wurde, kann im Beschwerdeverfahren nicht mehr geltend gemacht bzw. nachgeholt werden. Dieses Novenverbot ist umfassend und gilt sowohl für unech- te wie auch für echte Noven (Sutter-Somm/Hasenböhler/Leuenberger [Hrsg.], a.a.O., N 3 f. zu Art. 326 ZPO). Insbesondere ist die neue Behauptung des Be- schwerdeführers, es handle sich bei Urk. 33/20 um ein Inhaberpapier, unzulässig. c) Wie erwähnt, hat die Vorinstanz das Rechtsöffnungsbegehren aus drei voneinander unabhängigen Gründen (Alternativbegründungen) abgewiesen. Mit der Beschwerde müssen daher alle drei Begründungen zu Fall gebracht werden; wenn auch nur eine der vorinstanzlichen Begründungsalternativen Bestand hat, ist die Beschwerde abzuweisen. d) Hinsichtlich der Fälligkeit der Forderung bringt der Beschwerdeführer vor, die Schuldanerkennung (Urk. 33/20/C) sehe die jederzeitige Rückzahlbarkeit der darin enthaltenen Forderung vor. Er habe die Rückzahlung dieser Forderung mehrfach mündlich und am 2. November 2011 (Urk. 33/4/3) und 23. November 2011 (Urk. 33/4/5) schriftlich gefordert; die Beschwerdegegnerin habe mit Brief vom 8. November 2011 die Kündigung anerkannt und die Zahlung versprochen. Diese Urkunden würden die Kündigung des Darlehens beweisen. Ein letzter Ter- min zur Rückzahlung sei der Beschwerdegegnerin am 7. Februar 2012 (Urk. 33/4/6) gesetzt worden (Urk. 30 S. 4). e) Vor Vorinstanz hatte die Beschwerdegegnerin in ihrer Stellungnahme vom 19. Juni 2012 das Vorliegen einer rechtsgültigen Kündigung bestritten (Urk. 13 S. 4). Der Beschwerdeführer hatte dazu in seiner Replik erwidert, der Betrag</w:t>
      </w:r>
    </w:p>
    <w:p>
      <w:r>
        <w:t>- 4 - und die Zinsen könnten zu jedem Zeitpunkt gefordert werden, und er versuche schon seit geraumer Zeit, den noch geschuldeten Betrag zu erhalten, jedoch ohne Erfolg; die Kündigung sei daher jedenfalls erfolgt (Urk. 20 S. 4). Gemäss "Rice- vuta" vom 8. März 2008 war der Betrag ab 15. März 2008 jederzeit rückzahlbar. Daraus ergibt sich aber nicht, dass er auch jederzeit ohne Kündigung im Sinne von Art. 318 OR rückforderbar war. Die Vorinstanz setzte daher für die Fälligkeit der Forderung zu Recht eine Kündigung voraus. Der Beschwerdeführer hat vor Vorinstanz in der Tat nicht substantiiert behauptet, wann und wie er den geforder- ten Betrag gekündigt hat. Seine in der Beschwerdeschrift neu erhobenen Behaup- tungen, dass die Kündigung mit den Schreiben vom 2. und 23. November 2011 erfolgt sei, können zufolge des Novenverbots im Beschwerdeverfahren (oben Erw. 2.b) nicht berücksichtigt werden. Daran ändert nichts, dass diese beiden Schreiben schon bei der Vorinstanz eingereicht wurden, denn es ist nicht Aufgabe des Rechtsöffnungsgerichts, in den Akten nach für eine Partei günstigen Unterla- gen zu suchen. Damit bleibt es dabei, dass der Beschwerdeführer die nur allge- mein behauptete Kündigung nicht genügend substantiiert behauptet hat. Demge- mäss ist das Rechtsöffnungsbegehren mangels rechtsgenügend erstellter Fällig- keit der Forderung abzuweisen. f) Nachdem somit eine der Begründungsalternativen der Vorinstanz zu schützen ist, brauchen die weiteren Rügen des Beschwerdeführers nicht geprüft zu werden und ist die Beschwerde abzuweisen (oben Erw. 2.c).</w:t>
      </w:r>
    </w:p>
    <w:p>
      <w:r>
        <w:rPr>
          <w:b/>
        </w:rPr>
        <w:t>E. 3</w:t>
      </w:r>
    </w:p>
    <w:p>
      <w:r>
        <w:t>a) Für das Beschwerdeverfahren beträgt der Streitwert Fr. 71'400.--. Die zweitinstanzliche Entscheidgebühr ist in Anwendung von Art. 48 i.V.m. Art. 61 Abs. 1 GebV SchKG (vgl. ZR 110/2011 Nr. 28) auf Fr. 500.– festzusetzen. b) Die Gerichtskosten des Beschwerdeverfahrens sind ausgangsgemäss dem unterliegenden Beschwerdeführer aufzuerlegen (Art. 106 Abs. 1 ZPO). c) Für das Beschwerdeverfahren ist der Beschwerdegegnerin mangels re- levanter Umtriebe keine Parteientschädigung zuzusprechen (vgl. Art. 95 Abs. 3 ZPO), dem Beschwerdeführer nicht, weil er unterliegt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