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RT120157 vom 29. Oktober 2012</w:t>
      </w:r>
    </w:p>
    <w:p>
      <w:r>
        <w:t>ZH Obergericht, 2012-10-29, DE</w:t>
      </w:r>
    </w:p>
    <w:p>
      <w:r>
        <w:rPr>
          <w:b/>
        </w:rPr>
        <w:t xml:space="preserve">Quelle: </w:t>
      </w:r>
      <w:r>
        <w:t>https://mcp.opencaselaw.ch/entscheid/zh_obergericht_RT120157</w:t>
      </w:r>
    </w:p>
    <w:p>
      <w:r>
        <w:t>FR: ZH_OBERGERICHT RT120157 du 29 octobre 2012</w:t>
      </w:r>
    </w:p>
    <w:p>
      <w:r>
        <w:t>IT: ZH_OBERGERICHT RT120157 del 29 ottobre 2012</w:t>
      </w:r>
    </w:p>
    <w:p>
      <w:pPr>
        <w:pStyle w:val="Heading2"/>
      </w:pPr>
      <w:r>
        <w:t>Erwägungen</w:t>
      </w:r>
    </w:p>
    <w:p>
      <w:r>
        <w:rPr>
          <w:b/>
        </w:rPr>
        <w:t>E. 1</w:t>
      </w:r>
    </w:p>
    <w:p>
      <w:r>
        <w:t>a) Mit Verfügung vom 27. September 2012 verfügte die Vorinstanz das Folgende (Urk. 2 S. 2): "1. Das erneute Fristerstreckungsgesuch der Beklagten wird abgewiesen. Die mit Verfügung vom 12. September 2012 angesetzte Frist von 14 Tagen endet am 28. September 2012.</w:t>
      </w:r>
    </w:p>
    <w:p>
      <w:r>
        <w:rPr>
          <w:b/>
        </w:rPr>
        <w:t>E. 2</w:t>
      </w:r>
    </w:p>
    <w:p>
      <w:r>
        <w:t>a) Gegen die (prozessleitende) Verfügung der Vorinstanz vom 27. Sep- tember 2012 ist die Beschwerde - von der hier ausser Betracht fallenden alterna- tiven Voraussetzung nach Art. 319 lit. b Ziff. 1 ZPO abgesehen - nur zulässig, wenn der Beklagten durch sie ein nicht leicht wiedergutzumachender Nachteil droht (Art. 319 lit. b ZPO). b) Gemäss Art. 223 Abs. 1 ZPO setzt das Gericht bei versäumter Kla- geantwort eine kurze Nachfrist. Aus dieser Gesetzesbestimmung resultiert, dass die Beklagte ihre Rechte noch innert der ihr allfällig anzusetzenden Nachfrist voll- umfänglich wahrnehmen kann. Ein nicht leicht wiedergutzumachender Nachteil für die Beklagte ist demnach zu verneinen. Die angefochtene Verfügung ist demnach</w:t>
      </w:r>
    </w:p>
    <w:p>
      <w:r>
        <w:t>- 3 - der Beschwerde nicht zugänglich, weshalb im Ergebnis auf die Beschwerde nicht einzutreten ist.</w:t>
      </w:r>
    </w:p>
    <w:p>
      <w:r>
        <w:rPr>
          <w:b/>
        </w:rPr>
        <w:t>E. 3</w:t>
      </w:r>
    </w:p>
    <w:p>
      <w:r>
        <w:t>Die Gerichtskosten des Beschwerdeverfahrens werden der Beklagten aufer- legt.</w:t>
      </w:r>
    </w:p>
    <w:p>
      <w:r>
        <w:rPr>
          <w:b/>
        </w:rPr>
        <w:t>E. 4</w:t>
      </w:r>
    </w:p>
    <w:p>
      <w:r>
        <w:t>Es werden keine Parteientschädigungen zugesprochen.</w:t>
      </w:r>
    </w:p>
    <w:p>
      <w:r>
        <w:rPr>
          <w:b/>
        </w:rPr>
        <w:t>E. 5</w:t>
      </w:r>
    </w:p>
    <w:p>
      <w:r>
        <w:t>Schriftliche Mitteilung an die Parteien je gegen Empfangsschein, an die Klä- gerin und Beschwerdegegnerin unter Beilage eines Doppels von act. 2, so- wie an das Bezirksgericht Uster unter Beilage der erstinstanzlichen Akten.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f. BGG. Es handelt sich um eine vermögensrechtliche Angelegenheit. Der Streitwert beträgt Fr. 18'720.–.</w:t>
      </w:r>
    </w:p>
    <w:p>
      <w:r>
        <w:t>- 4 - Die Beschwerde an das Bundesgericht hat keine aufschiebende Wirkung. Hinsichtlich des Fristenlaufs gelten die Art. 44 ff. BGG. Zürich, 29. Oktober 2012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