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RT120155 vom 18. Oktober 2012</w:t>
      </w:r>
    </w:p>
    <w:p>
      <w:r>
        <w:t>ZH Obergericht, 2012-10-18, DE</w:t>
      </w:r>
    </w:p>
    <w:p>
      <w:r>
        <w:rPr>
          <w:b/>
        </w:rPr>
        <w:t xml:space="preserve">Quelle: </w:t>
      </w:r>
      <w:r>
        <w:t>https://mcp.opencaselaw.ch/entscheid/zh_obergericht_RT120155</w:t>
      </w:r>
    </w:p>
    <w:p>
      <w:r>
        <w:t>FR: ZH_OBERGERICHT RT120155 du 18 octobre 2012</w:t>
      </w:r>
    </w:p>
    <w:p>
      <w:r>
        <w:t>IT: ZH_OBERGERICHT RT120155 del 18 ottobre 2012</w:t>
      </w:r>
    </w:p>
    <w:p>
      <w:pPr>
        <w:pStyle w:val="Heading2"/>
      </w:pPr>
      <w:r>
        <w:t>Erwägungen</w:t>
      </w:r>
    </w:p>
    <w:p>
      <w:r>
        <w:rPr>
          <w:b/>
        </w:rPr>
        <w:t>E. 1</w:t>
      </w:r>
    </w:p>
    <w:p>
      <w:r>
        <w:t>Januar 2012; die Kosten- und Entschädigungsfolgen wurden zu Lasten des Beschwerdeführers geregelt (Urk. 6 = Urk. 10). b) Hiergegen hat der Beschwerdeführer am 4. Oktober 2012 fristgerecht (Urk. 8) Beschwerde erhoben (Urk. 9). c) Da sich die Beschwerde sogleich als unbegründet bzw. unzulässig er- weist, kann auf die Einholung einer Beschwerdeantwort der Gegenpartei verzich- tet werden (Art. 322 Abs. 1 ZPO).</w:t>
      </w:r>
    </w:p>
    <w:p>
      <w:r>
        <w:rPr>
          <w:b/>
        </w:rPr>
        <w:t>E. 2</w:t>
      </w:r>
    </w:p>
    <w:p>
      <w:r>
        <w:t>a) Mit der Beschwerde können unrichtige Rechtsanwendung und offensichtlich unrichtige Feststellung des Sachverhalts geltend gemacht werden (Art. 320 ZPO). Vorab aber hat die Beschwerdeschrift konkrete Anträge zu enthal- ten – worauf schon in der vorinstanzlichen Rechtsmittelbelehrung (Dispositiv Ziffer 6) hingewiesen wurde –, aus denen eindeutig hervorgeht, in welchem Umfang der vorinstanzliche Entscheid angefochten wird und wie der Entscheid stattdessen zu lauten hätte. Diese formellen Anforderungen erfüllt die Beschwerdeschrift nicht. Sie enthält keine Anträge. Der Beschwerdeführer bringt zwar vor, er sei "mit kei- nem der Sechs Punkte einverstanden" (Urk. 9). Da aber die Vorinstanz Rechts- öffnung für die ausstehende Prämie für das erste Halbjahr 2012 erteilt hat (Urk. 10 S. 2) und der Beschwerdeführer vor Vorinstanz anerkannt hatte, er wolle die Rechnung für die Monate Januar bis März 2012 bezahlen (Vi-Protokoll S. 4), kann gleichwohl nicht von einem Antrag auf vollumfängliche Abweisung des Rechtsöff- nungsbegehrens ausgegangen werden und bleibt letztlich offen, welche Teile des</w:t>
      </w:r>
    </w:p>
    <w:p>
      <w:r>
        <w:t>- 3 - Dispositivs des angefochtenen Entscheids in welchem Umfang aufzuheben seien. Auf die Beschwerde kann daher schon aus diesem Grund nicht eingetreten wer- den. b) Aber selbst wenn man von einem Antrag auf vollumfängliche Abwei- sung des Rechtsöffnungsbegehrens ausgehen würde, wäre auf die Beschwerde nicht einzutreten. Denn eine Beschwerde muss neben den Anträgen auch eine Begründung derselben enthalten – auch darauf wurde bereits in der vorinstanzli- chen Rechtsmittelbelehrung (Dispositiv Ziffer 6) hingewiesen –, in welcher im Ein- zelnen dargetan werden muss, an welchen Mängeln (unrichtige Rechtsanwen- dung, offensichtlich unrichtige Feststellung des Sachverhalts, vgl. Art. 320 ZPO) der angefochtene Entscheid nach Ansicht der beschwerdeführenden Partei leiden soll. Die Beschwerdeschrift des Beschwerdeführers enthält jedoch überhaupt kei- ne Begründung (vgl. Urk. 9). Auf die Beschwerde könnte daher auch aus diesem Grund nicht eingetreten werden.</w:t>
      </w:r>
    </w:p>
    <w:p>
      <w:r>
        <w:rPr>
          <w:b/>
        </w:rPr>
        <w:t>E. 3</w:t>
      </w:r>
    </w:p>
    <w:p>
      <w:r>
        <w:t>a) Für das Beschwerdeverfahren beträgt der Streitwert Fr. 790.60. Die zweitinstanzliche Entscheidgebühr ist in Anwendung von Art. 48 i.V.m. Art. 61 Abs. 1 GebV SchKG (vgl. ZR 110/2011 Nr. 28) auf Fr. 150.– festzusetzen. b) Die Gerichtskosten des Beschwerdeverfahrens sind ausgangsgemäss dem Beschwerdeführer aufzuerlegen (Art. 106 Abs. 1 ZPO). c) Der Beschwerdegegnerin ist für das Beschwerdeverfahren mangels re- levanter Umtriebe keine Parteientschädigung zuzusprechen (vgl. Art. 95 Abs. 3 ZPO), dem Beschwerdeführer nicht, weil er unterliegt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