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RT120150 vom 16. Oktober 2012</w:t>
      </w:r>
    </w:p>
    <w:p>
      <w:r>
        <w:t>ZH Obergericht, 2012-10-16, DE</w:t>
      </w:r>
    </w:p>
    <w:p>
      <w:r>
        <w:rPr>
          <w:b/>
        </w:rPr>
        <w:t xml:space="preserve">Quelle: </w:t>
      </w:r>
      <w:r>
        <w:t>https://mcp.opencaselaw.ch/entscheid/zh_obergericht_RT120150</w:t>
      </w:r>
    </w:p>
    <w:p>
      <w:r>
        <w:t>FR: ZH_OBERGERICHT RT120150 du 16 octobre 2012</w:t>
      </w:r>
    </w:p>
    <w:p>
      <w:r>
        <w:t>IT: ZH_OBERGERICHT RT120150 del 16 ottobre 2012</w:t>
      </w:r>
    </w:p>
    <w:p>
      <w:pPr>
        <w:pStyle w:val="Heading2"/>
      </w:pPr>
      <w:r>
        <w:t>Erwägungen</w:t>
      </w:r>
    </w:p>
    <w:p>
      <w:r>
        <w:rPr>
          <w:b/>
        </w:rPr>
        <w:t>E. 1</w:t>
      </w:r>
    </w:p>
    <w:p>
      <w:r>
        <w:t>Mit Urteil vom 4. September 2012 erteilte die Vorinstanz der Gesuchstel- lerin und Beschwerdegegnerin (fortan Gesuchstellerin) in der Betreibung Nr. … des Betreibungsamtes B._____ (Zahlungsbefehl vom 29. März 2012) gestützt auf den rechtskräftigen Einschätzungsentscheid des kantonalen Steueramtes Zürich vom 16. September 2011 (Urk. 2/3) definitive Rechtsöffnung für Fr. 2'682.65 nebst Zins zu 4.5 % seit 28. März 2012, für Fr. 102.55 (aufgelaufene Zinsen) so- wie für die Betreibungskosten und Kosten und Entschädigung des genannten Ur- teils (Urk. 10 S. 5 Dispositivziffer 1).</w:t>
      </w:r>
    </w:p>
    <w:p>
      <w:r>
        <w:rPr>
          <w:b/>
        </w:rPr>
        <w:t>E. 2</w:t>
      </w:r>
    </w:p>
    <w:p>
      <w:r>
        <w:t>Mit fristgerechter Eingabe vom 24. September 2012 erhob der Gesuchs- gegner und Beschwerdeführer (fortan Gesuchsgegner) Beschwerde gegen das Urteil vom 4. September 2012, mit welcher er sinngemäss die Aufhebung des vor- instanzlichen Entscheides beantragte (Urk. 9).</w:t>
      </w:r>
    </w:p>
    <w:p>
      <w:r>
        <w:rPr>
          <w:b/>
        </w:rPr>
        <w:t>E. 3</w:t>
      </w:r>
    </w:p>
    <w:p>
      <w:r>
        <w:t>Mit der Beschwerde können unrichtige Rechtsanwendung und offensicht- lich unrichtige Feststellung des Sachverhalts geltend gemacht werden (Art. 320 ZPO).</w:t>
      </w:r>
    </w:p>
    <w:p>
      <w:r>
        <w:rPr>
          <w:b/>
        </w:rPr>
        <w:t>E. 4</w:t>
      </w:r>
    </w:p>
    <w:p>
      <w:r>
        <w:t>a) Vorliegend ist vollumfänglich auf die zutreffenden Erwägungen des Vorderrichters zu verweisen (vgl. Urk. 10 S. 2 ff.). Der Gesuchsgegner unterliess es im Beschwerdeverfahren auszuführen, wieso die vorinstanzlichen Erwägungen falsch seien. Er äussert sich nicht weiter zu dem von der Gesuchstellerin vor Vo- rinstanz vorgelegtem Rechtsöffnungstitel. b) Der Gesuchsgegner reichte als Beweismittel im Beschwerdeverfahren di- verse Kopien ein (Urk. 12/1 und Urk. 12/3-14).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 te wie auch für unechte Noven (Freiburghaus/Afheldt, in: Sutter-Somm/Hasen-</w:t>
      </w:r>
    </w:p>
    <w:p>
      <w:r>
        <w:t>- 3 - böhler/Leuenberger, Kommentar zur Schweizerischen Zivilprozessordnung (ZPO), Zürich/Basel/Genf 2010, Art. 326 N 3 f.). Echte Noven sind neue Tatsa- chen und Beweismittel, die erst nach Abschluss des erstinstanzlichen Schriften- wechsels entstanden oder gefunden worden sind. Unechte Noven sind neue Tat- sachen und Beweismittel, die bereits vor erster Instanz hätten vorgebracht wer- den können (vgl. Leuenberger, in: Sutter-Somm/Hasenböhler/Leuenberger, a.a.O., Art. 229 N 5 und 8). Der Gesuchsgegner reichte die Urk. 12/1, Urk. 12/3-7, Urk. 12/8 S. 2, Urk. 12/9-10 und Urk. 12/12 im Beschwerdeverfahren das erste Mal ein, weshalb sie vorliegend aufgrund von Art. 326 ZPO nicht zu beachten sind. Die Urk. 12/8 S. 1 und Urk. 12/11, welche den erstinstanzlichen Urk. 6/3 und Urk. 6/2 entsprechen, sind im Beschwerdeverfahren zwar in der Entscheidfindung mit einzubeziehen, ändern jedoch nichts an den korrekten Erwägungen des Vor- derrichters. c) Damit erweist sich die Beschwerde als offensichtlich unbegründet. Es kann daher davon abgesehen werden, eine Beschwerdeantwort der Gesuchstel- lerin oder eine Stellungnahme der Vorinstanz einzuholen (Art. 322 ZPO, Art. 324 ZPO). Die Beschwerde ist abzuweisen.</w:t>
      </w:r>
    </w:p>
    <w:p>
      <w:r>
        <w:rPr>
          <w:b/>
        </w:rPr>
        <w:t>E. 5</w:t>
      </w:r>
    </w:p>
    <w:p>
      <w:r>
        <w:t>a) Die zweitinstanzliche Spruchgebühr ist ausgangsgemäss dem Ge- suchsgegner aufzuerlegen (Art. 106 Abs. 1 ZPO). Für deren Bemessung gelangt gemäss Praxis der Kammer die Gebührenverordnung zum Bundesgesetz über Schuldbetreibung und Konkurs (GebV SchKG; SR 281.35) zur Anwendung (Art. 16 SchKG; ZR 110 (2011) Nr. 28). Die Spruchgebühr ist gestützt auf Art. 48 GebV SchKG auf Fr. 300.– festzusetzen. b) Mangels wesentlicher Umtriebe ist der Gesuchstellerin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