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RT120148 vom 14. November 2012</w:t>
      </w:r>
    </w:p>
    <w:p>
      <w:r>
        <w:t>ZH Obergericht, 2012-11-14, DE</w:t>
      </w:r>
    </w:p>
    <w:p>
      <w:r>
        <w:rPr>
          <w:b/>
        </w:rPr>
        <w:t xml:space="preserve">Quelle: </w:t>
      </w:r>
      <w:r>
        <w:t>https://mcp.opencaselaw.ch/entscheid/zh_obergericht_RT120148</w:t>
      </w:r>
    </w:p>
    <w:p>
      <w:r>
        <w:t>FR: ZH_OBERGERICHT RT120148 du 14 novembre 2012</w:t>
      </w:r>
    </w:p>
    <w:p>
      <w:r>
        <w:t>IT: ZH_OBERGERICHT RT120148 del 14 novembre 2012</w:t>
      </w:r>
    </w:p>
    <w:p>
      <w:pPr>
        <w:pStyle w:val="Heading2"/>
      </w:pPr>
      <w:r>
        <w:t>Erwägungen</w:t>
      </w:r>
    </w:p>
    <w:p>
      <w:r>
        <w:rPr>
          <w:b/>
        </w:rPr>
        <w:t>E. 1</w:t>
      </w:r>
    </w:p>
    <w:p>
      <w:r>
        <w:t>Mit Urteil der Vorinstanz vom 23. August 2012 (Urk. 14) wurde das in der Betreibung Nr. … des Betreibungsamts C._____ (Zahlungsbefehl vom 10. Februar 2012) gestellte Rechtsöffnungsbegehren der Klägerin/Gesuchstellerin und Beschwerdeführerin (fortan: Gesuchstellerin) abgewiesen (Dispositiv-Ziffer 1). Die Kosten- und Entschädigungsfolgen wurden zu Lasten der Gesuchstellerin ge- regelt (Dispositiv-Ziffern 2 und 3). Das Gesuch des Beklagten/Gesuchsgegners und Beschwerdegegners (fortan: Gesuchsgegner) um Gewährung der unentgeltli- chen Prozessführung wurde mit Verfügung vom gleichen Tag (Urk. 14) als ge- genstandslos geworden abgeschrieben und sein Gesuch um Bestellung eines unentgeltlichen Rechtsbeistands bewilligt (Dispositiv-Ziffern 1 und 2). Für den Verlauf des erstinstanzlichen Verfahrens kann auf die Ausführungen im Entscheid der Vorinstanz verwiesen werden (Urk. 14 S. 2). Gegen dieses Urteil erhob die Gesuchstellerin am 17. September 2012 fristgerecht (vgl. Urk. 11) Beschwerde mit folgenden Anträgen (Urk. 13 S. 3): "1. Das Urteil des Bezirksgerichts vom 23. August 2012 sei aufzuheben und an die Vo- rinstanz zur Neubeurteilung und Entscheidung zurückzuweisen.</w:t>
      </w:r>
    </w:p>
    <w:p>
      <w:r>
        <w:rPr>
          <w:b/>
        </w:rPr>
        <w:t>E. 2</w:t>
      </w:r>
    </w:p>
    <w:p>
      <w:r>
        <w:t>Die Kosten- und Entschädigungsentscheidung vom 23. August 2012 sei aufzuheben.</w:t>
      </w:r>
    </w:p>
    <w:p>
      <w:r>
        <w:rPr>
          <w:b/>
        </w:rPr>
        <w:t>E. 3</w:t>
      </w:r>
    </w:p>
    <w:p>
      <w:r>
        <w:t>a) Für das Beschwerdeverfahren ist von einem Streitwert von Fr. 89'935.85 auszugehen. Die Spruchgebühr für das Beschwerdeverfahren ist in Anwendung von Art. 48 in Verbindung mit Art. 61 Abs. 1 GebV SchKG (vgl. ZR 110 Nr. 28) auf Fr. 500.– festzusetzen. Die Gerichtskosten sind ausgangsge- mäss der Gesuchstellerin aufzuerlegen (Art. 106 Abs. 1 ZPO). Die Gesuchstelle- rin ist überdies antragsgemäss (Urk. 20 S. 2, S. 6) zur Bezahlung einer Parteient- schädigung zu verpflichten, die auf Fr. 1'620.– (Fr. 1'500.– zuzüglich 8 % MwSt.; § 4 i.V.m. § 9 i.V.m. § 13 Abs. 2 AnwGebV) festzusetzen ist. Das eventualiter ge- stellte Gesuch des Gesuchsgegners um unentgeltliche Rechtspflege ist damit nicht mehr zu behandeln.</w:t>
      </w:r>
    </w:p>
    <w:p>
      <w:r>
        <w:t>- 5 - b) Der Antrag des Gesuchgegners lautet dahingehend, eine Prozessent- schädigung sei "zahlbar [zu erklären] an den Rechtsvertreter" (Urk. 20 S. 2); der Rechtsvertreter des Gesuchsgegners führt demgegenüber aus, ausgangsgemäss sei "[s]einem Mandanten eine angemessene Parteientschädigung für seine An- waltskosten auszurichten" (Urk. 20 S. 6). Bei dieser Konstellation ist usanzge- mäss die Prozessentschädigung dem Gesuchsgegner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