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RT120110 vom 23. Juli 2012</w:t>
      </w:r>
    </w:p>
    <w:p>
      <w:r>
        <w:t>ZH Obergericht, 2012-07-23, DE</w:t>
      </w:r>
    </w:p>
    <w:p>
      <w:r>
        <w:rPr>
          <w:b/>
        </w:rPr>
        <w:t xml:space="preserve">Quelle: </w:t>
      </w:r>
      <w:r>
        <w:t>https://mcp.opencaselaw.ch/entscheid/zh_obergericht_RT120110</w:t>
      </w:r>
    </w:p>
    <w:p>
      <w:r>
        <w:t>FR: ZH_OBERGERICHT RT120110 du 23 juillet 2012</w:t>
      </w:r>
    </w:p>
    <w:p>
      <w:r>
        <w:t>IT: ZH_OBERGERICHT RT120110 del 23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Rechtsöffnungsverfahren in Betreibung Nr. …, Betreibungsamt C._____, Zahlungsbefehl vom 2. Februar 2012, wird im Umfang von Fr. 4'756.00 infolge Anerkennung des Begehrens um definitive Rechtsöffnung abgeschrieben.</w:t>
      </w:r>
    </w:p>
    <w:p>
      <w:r>
        <w:rPr>
          <w:b/>
        </w:rPr>
        <w:t>E. 2</w:t>
      </w:r>
    </w:p>
    <w:p>
      <w:r>
        <w:t>Im Mehrumfang wird das Begehren abgewiesen.</w:t>
      </w:r>
    </w:p>
    <w:p>
      <w:r>
        <w:rPr>
          <w:b/>
        </w:rPr>
        <w:t>E. 3</w:t>
      </w:r>
    </w:p>
    <w:p>
      <w:r>
        <w:t>Die Spruchgebühr von Fr. 500.00 wird von der klagenden Partei bezo- gen, ist ihr aber im Umfang von Fr. 125.00 von der beklagten Partei zu ersetzen.</w:t>
      </w:r>
    </w:p>
    <w:p>
      <w:r>
        <w:rPr>
          <w:b/>
        </w:rPr>
        <w:t>E. 4</w:t>
      </w:r>
    </w:p>
    <w:p>
      <w:r>
        <w:t>a) Mit der Beschwerde können unrichtige Rechtsanwendung und offensichtlich unrichtige Feststellung des Sachverhalts geltend gemacht werden (Art. 320 ZPO). Im Beschwerdeverfahren gilt das Rügeprinzip (Sutter-Somm/Ha- senböhler/Leuenberger [Hrsg.], Kommentar zur Schweizerischen Zivilprozessord- nung, N 15 zu Art. 321 ZPO), d.h. die Beschwerde führende Partei hat im Einzel- nen darzulegen, an welchen Mängeln (unrichtige Rechtsanwendung, offensicht- lich unrichtige Feststellung des Sachverhalts) der angefochtene Entscheid ihrer Ansicht nach leidet. Was nicht gerügt wird, hat Bestand. Neue Anträge, neue Tat- sachenbehauptungen und neue Beweismittel sind im Beschwerdeverfahren aus- geschlossen (Art. 326 Abs. 1 ZPO). b) Bezüglich des nach der Anerkennung von Fr. 4'756.-- einzig noch um- strittenen Betrages von Fr. 13'244.85 macht die Klägerin in ihrer Beschwerde gel- tend, dieser setze sich wie folgt zusammen (Urk. 10 S. 2): Rechnung für definitive Prämien (Ersatz) 2010 Fr. 42'463.60 Umbuchung bereits bezahlte definitive Prämien 2010 Fr. – 23'593.00 Verrechnung Taggeld vom 02.09.2011 Fr. – 24.25 Verrechnung Taggeld vom 20.09.2011 Fr. – 4'795.50 Verrechnung Taggeld vom 28.09.2011 Fr. – 806.00 Saldo zugunsten Klägerin Fr. 13'244.85</w:t>
      </w:r>
    </w:p>
    <w:p>
      <w:r>
        <w:t>- 4 - c) Die Klägerin hat dies im vorinstanzlichen Verfahren nicht vorgetragen (Urk. 1; zur Verhandlung vom 7. Juni 2012 ist sie nicht erschienen, Prot. S. 3 und Urk. 5); diese Zusammensetzung ergab sich auch nicht aus den der Vorinstanz eingereichten Akten (Urk. 2/1-8). Im Beschwerdeverfahren sind, wie erwähnt, neue Behauptungen und neue Beweise nicht (mehr) zulässig (Art. 326 Abs. 1 ZPO). Was im erstinstanzlichen Verfahren nicht vorgetragen wurde, kann im Be- schwerdeverfahren nicht mehr geltend gemacht bzw. nachgeholt werden. Dies ergibt sich aus der Natur der Beschwerde, welche als ausserordentliches Rechts- mittel im Wesentlichen auf die Rechtskontrolle beschränkt ist und nicht das erstin- stanzliche Verfahren fortsetzen soll. Dieses Novenverbot ist umfassend und gilt sowohl für unechte wie auch für echte Noven (Sutter-Somm/Hasenböhler/Leuen- berger [Hrsg.], Kommentar zur Schweizerischen Zivilprozessordnung, N 3 f. zu Art. 326 ZPO). Damit bleibt es bei der vorinstanzlichen Feststellung, dass das Rechtsöffnungsbegehren im den anerkannten Betrag übersteigenden Umfang ungenügend substantiiert und damit abzuweisen sei. d) Damit ist auch die – ohnehin nicht substantiiert gerügte – vorinstanzli- che Regelung der Kosten- und Entschädigungsfolgen zu bestätigen. e) Nach dem Gesagten ist die Beschwerde abzuweisen, soweit auf sie einzutreten ist (oben Erw. 2).</w:t>
      </w:r>
    </w:p>
    <w:p>
      <w:r>
        <w:rPr>
          <w:b/>
        </w:rPr>
        <w:t>E. 5</w:t>
      </w:r>
    </w:p>
    <w:p>
      <w:r>
        <w:t>a) Für das Beschwerdeverfahren beträgt der Streitwert Fr. 18'241.15 (Fr. 24'650.15 – Fr. 6'409.--). Die zweitinstanzliche Entscheidgebühr ist in Anwen- dung von Art. 48 i.V.m. Art. 61 Abs. 1 GebV SchKG (vgl. ZR 110/2011 Nr. 28) auf Fr. 500.– festzusetzen. b) Die Gerichtskosten des Beschwerdeverfahrens sind ausgangsgemäss der Klägerin aufzuerlegen (Art. 106 Abs. 1 ZPO). c) Der Beklagten ist mangels relevanter Umtriebe im Beschwerdeverfah- ren keine Parteientschädigung zuzusprechen (vgl. Art. 95 Abs. 3 ZPO), der Kläge- rin nicht, weil sie unterliegt (Art. 106 Abs. 1 ZPO).</w:t>
      </w:r>
    </w:p>
    <w:p>
      <w:r>
        <w:t>- 5 -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