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RT120108 vom 17. Juli 2012</w:t>
      </w:r>
    </w:p>
    <w:p>
      <w:r>
        <w:t>ZH Obergericht, 2012-07-17, DE</w:t>
      </w:r>
    </w:p>
    <w:p>
      <w:r>
        <w:rPr>
          <w:b/>
        </w:rPr>
        <w:t xml:space="preserve">Quelle: </w:t>
      </w:r>
      <w:r>
        <w:t>https://mcp.opencaselaw.ch/entscheid/zh_obergericht_RT120108</w:t>
      </w:r>
    </w:p>
    <w:p>
      <w:r>
        <w:t>FR: ZH_OBERGERICHT RT120108 du 17 juillet 2012</w:t>
      </w:r>
    </w:p>
    <w:p>
      <w:r>
        <w:t>IT: ZH_OBERGERICHT RT120108 del 17 luglio 2012</w:t>
      </w:r>
    </w:p>
    <w:p>
      <w:pPr>
        <w:pStyle w:val="Heading2"/>
      </w:pPr>
      <w:r>
        <w:t>Erwägungen</w:t>
      </w:r>
    </w:p>
    <w:p>
      <w:r>
        <w:rPr>
          <w:b/>
        </w:rPr>
        <w:t>E. 1</w:t>
      </w:r>
    </w:p>
    <w:p>
      <w:r>
        <w:t>a) Mit Urteil vom 30. Mai 2012 erteilte die Vorinstanz den Klägern in der Betreibung Nr. … des Betreibungsamts B._____ (Zahlungsbefehl vom 5. Ja- nuar 2011) – für ausstehende Steuern des Jahres 2009 – definitive Rechtsöffnung für Fr. 26'970.45 nebst 4.5% Zins seit 4. Januar 2011, Fr. 590.35 und Fr. 97.75, abzüglich sieben mal Fr. 750.-- (mit unterschiedlichen Valutadaten); die Kosten- und Entschädigungsfolgen wurden zu Lasten des Beklagten geregelt (Urk. 5a = Urk. 8). b) Hiergegen hat der Beklagte mit Eingabe vom 4. Juli 2012, zur Post ge- geben am 5. Juli 2012, fristgerecht (Urk. 5c) Beschwerde erhoben und stellt den Beschwerdeantrag (Urk. 7): "Die definitive Rechtsöffnung in Betreibung Nr. ….. des Betreibungsamts B._____ sei nicht zu erteilen. Als Folge dessen seien die Spruchgebühr von CHF 500.00 und die Parteientschädigung von CHF 100.00 zu Gunsten des Steueramtes zu annullieren." c) Da sich die Beschwerde sogleich als unbegründet erweist, kann auf die Einholung einer Beschwerdeantwort verzichtet werden (Art. 322 Abs. 1 ZPO).</w:t>
      </w:r>
    </w:p>
    <w:p>
      <w:r>
        <w:rPr>
          <w:b/>
        </w:rPr>
        <w:t>E. 2</w:t>
      </w:r>
    </w:p>
    <w:p>
      <w:r>
        <w:t>a) Die Vorinstanz erwog, die Kläger stützten ihr Begehren auf den rechtskräftigen Entscheid des Steuerkommissärs für Staats- und Gemeindesteu- ern 2009 vom 25. August 2010 sowie auf die dazugehörige Schlussrechnung vom</w:t>
      </w:r>
    </w:p>
    <w:p>
      <w:r>
        <w:rPr>
          <w:b/>
        </w:rPr>
        <w:t>E. 4</w:t>
      </w:r>
    </w:p>
    <w:p>
      <w:r>
        <w:t>a) Der Streitwert beträgt Fr. 22'408.55 (Fr. 26'970.45 + Fr. 590.35 + Fr. 97.75 minus 7 x Fr. 750.00). Die zweitinstanzliche Entscheidgebühr ist in An- wendung von Art. 48 i.V.m. Art. 61 Abs. 1 GebV SchKG (vgl. ZR 110/2011 Nr. 28) auf Fr. 500.– festzusetzen. b) Die Gerichtskosten des Beschwerdeverfahrens sind ausgangsgemäss dem Beklagten aufzuerlegen (Art. 106 Abs. 1 ZPO). c) Den Klägern ist mangels relevanter Umtriebe im Beschwerdeverfahren keine Parteientschädigung zuzusprechen (vgl. Art. 95 Abs. 3 ZPO), dem Beklag- ten nicht, weil er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