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RT120103 vom 5. Juli 2012</w:t>
      </w:r>
    </w:p>
    <w:p>
      <w:r>
        <w:t>ZH Obergericht, 2012-07-05, DE</w:t>
      </w:r>
    </w:p>
    <w:p>
      <w:r>
        <w:rPr>
          <w:b/>
        </w:rPr>
        <w:t xml:space="preserve">Quelle: </w:t>
      </w:r>
      <w:r>
        <w:t>https://mcp.opencaselaw.ch/entscheid/zh_obergericht_RT120103</w:t>
      </w:r>
    </w:p>
    <w:p>
      <w:r>
        <w:t>FR: ZH_OBERGERICHT RT120103 du 5 juillet 2012</w:t>
      </w:r>
    </w:p>
    <w:p>
      <w:r>
        <w:t>IT: ZH_OBERGERICHT RT120103 del 5 luglio 2012</w:t>
      </w:r>
    </w:p>
    <w:p>
      <w:pPr>
        <w:pStyle w:val="Heading2"/>
      </w:pPr>
      <w:r>
        <w:t>Erwägungen</w:t>
      </w:r>
    </w:p>
    <w:p>
      <w:r>
        <w:rPr>
          <w:b/>
        </w:rPr>
        <w:t>E. 1</w:t>
      </w:r>
    </w:p>
    <w:p>
      <w:r>
        <w:t>a) Mit Eingabe vom 24. Mai 2012 stellte die Beschwerdegegnerin ein Rechtsöffnungsbegehren über Fr. 204.-- nebst 5% Zins seit 10. März 2012 (Vi-Urk. 1). Mit Verfügung vom 25. Mai 2012 ordnete die Vorinstanz die schriftli- che Durchführung des Verfahrens an und setzte der Beschwerdegegnerin Frist zur Leistung eines Gerichtskostenvorschusses von Fr. 150.-- an (Urk. 2). b) Hiergegen hat die Beschwerdeführerin am 2. Juni 2012 fristgerecht Beschwerde erhoben (Urk. 1). c) Da die Beschwerde aufgrund einer ersten Prüfung als von vornherein aussichtslos anzusehen war, wurde der Beschwerdeführerin Gelegenheit gege- ben, innert Frist auf die Durchführung des Beschwerdeverfahrens zu verzichten (Urk. 4). Diese hat davon keinen Gebrauch gemacht. d) Da sich die Beschwerde sogleich als offensichtlich unbegründet bzw. unzulässig erweist, kann auf die Einholung einer Beschwerdeantwort der Gegen- partei verzichtet werden (Art. 322 Abs. 1 ZPO).</w:t>
      </w:r>
    </w:p>
    <w:p>
      <w:r>
        <w:rPr>
          <w:b/>
        </w:rPr>
        <w:t>E. 2</w:t>
      </w:r>
    </w:p>
    <w:p>
      <w:r>
        <w:t>Mit der Beschwerde können unrichtige Rechtsanwendung und offen- sichtlich unrichtige Feststellung des Sachverhalts geltend gemacht werden (Art. 320 ZPO). Zuerst einmal muss die Beschwerdeschrift aber konkrete Anträge ent- halten (worauf schon in der vorinstanzlichen Rechtsmittelbelehrung hingewiesen wurde), damit klar ist, in welchem Umfang der vorinstanzliche Entscheid ange- fochten wird. Die Beschwerdeführerin stellt jedoch überhaupt keine Anträge; es bleibt unklar, ob das Dispositiv (der eigentliche Entscheid) der angefochtenen Verfügung als Ganzes oder allenfalls nur in Teilen aufgehoben werden soll. Auf die Beschwerde kann daher nicht eingetreten werden.</w:t>
      </w:r>
    </w:p>
    <w:p>
      <w:r>
        <w:rPr>
          <w:b/>
        </w:rPr>
        <w:t>E. 3</w:t>
      </w:r>
    </w:p>
    <w:p>
      <w:r>
        <w:t>a) Die Entscheidgebühr für das Beschwerdeverfahren ist in Anwen- dung von Art. 48 i.V.m. Art. 61 Abs. 1 GebV SchKG (vgl. ZR 110/2011 Nr. 28) auf Fr. 100.– festzusetzen. Die Gerichtskosten sind ausgangsgemäss der Beschwer- deführerin aufzuerlegen (Art. 106 Abs. 1 ZPO). b) Der Beschwerdegegnerin ist für das Beschwerdeverfahren mangels re- levanter Umtriebe keine Parteientschädigung zuzusprechen (vgl. Art. 95 Abs. 3 ZPO), der Beschwerdeführerin nicht, weil sie unterliegt (Art. 106 Abs. 1 ZPO).</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