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RT120102 vom 17. Juli 2012</w:t>
      </w:r>
    </w:p>
    <w:p>
      <w:r>
        <w:t>ZH Obergericht, 2012-07-17, DE</w:t>
      </w:r>
    </w:p>
    <w:p>
      <w:r>
        <w:rPr>
          <w:b/>
        </w:rPr>
        <w:t xml:space="preserve">Quelle: </w:t>
      </w:r>
      <w:r>
        <w:t>https://mcp.opencaselaw.ch/entscheid/zh_obergericht_RT120102</w:t>
      </w:r>
    </w:p>
    <w:p>
      <w:r>
        <w:t>FR: ZH_OBERGERICHT RT120102 du 17 juillet 2012</w:t>
      </w:r>
    </w:p>
    <w:p>
      <w:r>
        <w:t>IT: ZH_OBERGERICHT RT120102 del 17 luglio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Ausgangslage Im Verfahren vor Bezirksgericht Zürich beantragten die Kläger (Kanton und Stadt Zürich) definitive Rechtsöffnung in einer Betreibung gegen die Beklag- te (A._____ AG) über eine Steuerforderung von Fr. 37'154.00 zuzüglich Zin- sen und Kosten. Als Rechtsöffnungstitel beriefen sich die Kläger auf den rechtskräftigen Einschätzungsentscheid vom 4. März 2011 (Urk. 2/3 und 2/4) sowie die Schlussrechnung vom 9. Juni 2011 (Urk. 2/2).</w:t>
      </w:r>
    </w:p>
    <w:p>
      <w:r>
        <w:rPr>
          <w:b/>
        </w:rPr>
        <w:t>E. 2</w:t>
      </w:r>
    </w:p>
    <w:p>
      <w:r>
        <w:t>Alles unter Kosten- und Entschädigungsfolgen zuzüglich der gesetzli- chen Mehrwertsteuer zulasten der Kläger."</w:t>
      </w:r>
    </w:p>
    <w:p>
      <w:r>
        <w:rPr>
          <w:b/>
        </w:rPr>
        <w:t>E. 3</w:t>
      </w:r>
    </w:p>
    <w:p>
      <w:r>
        <w:t>Mit Beschluss vom 27. Februar 2012 trat das Obergericht wegen Ver- spätung der Beschwerde auf das Rechtsmittel nicht ein (Urk. 16). Dagegen erhob die Beklagte Beschwerde in Zivilsachen ans Bundesgericht. Im Be-</w:t>
      </w:r>
    </w:p>
    <w:p>
      <w:r>
        <w:t>- 3 - schwerdeverfahren vor Bundesgericht ergab sich, dass auf der GU für die Entgegennahme des erstinstanzlichen Urteils wohl versehentlich das Emp- fangsdatum des Vortages angegeben worden war. Das Bundesgericht hob daher mit Urteil vom 19. Juni 2012 in Gutheissung der Beschwerde den Be- schluss des Obergerichtes vom 27. Februar 2012 auf und wies die Sache zur neuen Entscheidung ans Obergericht zurück (Urk. 18).</w:t>
      </w:r>
    </w:p>
    <w:p>
      <w:r>
        <w:rPr>
          <w:b/>
        </w:rPr>
        <w:t>E. 4</w:t>
      </w:r>
    </w:p>
    <w:p>
      <w:r>
        <w:t>Kosten- und Entschädigungsfolgen Die Gerichtskosten des Beschwerdeverfahrens sind in Anwendung von Art. 48 i.V.m. Art. 61 Abs. 1 GebV SchKG auf Fr. 750.00 festzulegen und aus- gangsgemäss der Beklagten aufzuerlegen (Art. 106 Abs. 1 ZPO). Den Klägern ist mangels relevanter Umtriebe im Beschwerdeverfahren keine Parteientschädigung zuzusprechen (vgl.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